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E5345" w14:textId="12D8E67C" w:rsidR="00BE24DC" w:rsidRDefault="00AA0A8A" w:rsidP="00BE24DC">
      <w:pPr>
        <w:pStyle w:val="Covertitle"/>
      </w:pPr>
      <w:r>
        <w:t>V1.</w:t>
      </w:r>
      <w:r w:rsidR="001E4378">
        <w:t>48</w:t>
      </w:r>
      <w:r>
        <w:t xml:space="preserve"> Release Notes</w:t>
      </w:r>
    </w:p>
    <w:p w14:paraId="650D379C" w14:textId="780B9962" w:rsidR="00BE24DC" w:rsidRPr="0026164C" w:rsidRDefault="00AA0A8A" w:rsidP="00BE24DC">
      <w:pPr>
        <w:pStyle w:val="Coversubtitle"/>
      </w:pPr>
      <w:proofErr w:type="spellStart"/>
      <w:r>
        <w:t>GoTechnology</w:t>
      </w:r>
      <w:proofErr w:type="spellEnd"/>
      <w:r>
        <w:t xml:space="preserve"> hub2</w:t>
      </w:r>
    </w:p>
    <w:p w14:paraId="471B48B1" w14:textId="77777777" w:rsidR="00BE24DC" w:rsidRPr="008228A9" w:rsidRDefault="00BE24DC" w:rsidP="00BE24DC">
      <w:pPr>
        <w:spacing w:after="0"/>
        <w:rPr>
          <w:rFonts w:eastAsia="Times New Roman" w:cs="Tahoma"/>
          <w:b/>
          <w:sz w:val="48"/>
          <w:szCs w:val="20"/>
        </w:rPr>
      </w:pPr>
      <w:r>
        <w:br w:type="page"/>
      </w:r>
    </w:p>
    <w:p w14:paraId="06CCD325" w14:textId="5EF34D72" w:rsidR="0071459A" w:rsidRPr="008B7D6E" w:rsidRDefault="00AA0A8A" w:rsidP="00AA0A8A">
      <w:pPr>
        <w:pStyle w:val="Woodsubhead1-bulletednumberteal"/>
      </w:pPr>
      <w:r>
        <w:lastRenderedPageBreak/>
        <w:t>About this Document</w:t>
      </w:r>
    </w:p>
    <w:p w14:paraId="7ACCF1FB" w14:textId="33F97A5C" w:rsidR="0071459A" w:rsidRDefault="00AA0A8A" w:rsidP="008B7D6E">
      <w:pPr>
        <w:pStyle w:val="Woodsubheading2grey"/>
      </w:pPr>
      <w:r>
        <w:t>Purpose</w:t>
      </w:r>
    </w:p>
    <w:p w14:paraId="623D527E" w14:textId="730A895A" w:rsidR="00AA0A8A" w:rsidRDefault="00AA0A8A" w:rsidP="00AA0A8A">
      <w:pPr>
        <w:pStyle w:val="WoodBody"/>
      </w:pPr>
      <w:r>
        <w:t>This document provides a brief overview of the changes made between V1.</w:t>
      </w:r>
      <w:r w:rsidR="001E4378">
        <w:t>47.2</w:t>
      </w:r>
      <w:r>
        <w:t xml:space="preserve"> and V1.</w:t>
      </w:r>
      <w:r w:rsidR="001E4378">
        <w:t>48</w:t>
      </w:r>
      <w:r>
        <w:t xml:space="preserve"> of </w:t>
      </w:r>
      <w:proofErr w:type="spellStart"/>
      <w:r>
        <w:t>GoTechnology</w:t>
      </w:r>
      <w:proofErr w:type="spellEnd"/>
      <w:r>
        <w:t xml:space="preserve"> hub2, along with where further details of each change can be found within the updated functional specification, in addition to a listing of completed bug fixes and known issues.</w:t>
      </w:r>
    </w:p>
    <w:p w14:paraId="1B3C6821" w14:textId="3A9161EF" w:rsidR="00AA0A8A" w:rsidRDefault="00AA0A8A" w:rsidP="00AA0A8A">
      <w:pPr>
        <w:pStyle w:val="Woodsubhead1-bulletednumberteal"/>
      </w:pPr>
      <w:r>
        <w:t>Fixed Issues</w:t>
      </w:r>
    </w:p>
    <w:p w14:paraId="637945F2" w14:textId="1CEF47D6" w:rsidR="00AA0A8A" w:rsidRDefault="00AA0A8A" w:rsidP="00AA0A8A">
      <w:pPr>
        <w:pStyle w:val="WoodBody"/>
      </w:pPr>
      <w:r>
        <w:t>The following issues have been fixed in version 1.</w:t>
      </w:r>
      <w:r w:rsidR="001E4378">
        <w:t>48</w:t>
      </w:r>
      <w:r>
        <w:t xml:space="preserve"> of hub2</w:t>
      </w:r>
      <w:r w:rsidR="00DC42F3">
        <w:t>.</w:t>
      </w:r>
    </w:p>
    <w:tbl>
      <w:tblPr>
        <w:tblStyle w:val="GridTable4-Accent5"/>
        <w:tblW w:w="10031" w:type="dxa"/>
        <w:tblLook w:val="0420" w:firstRow="1" w:lastRow="0" w:firstColumn="0" w:lastColumn="0" w:noHBand="0" w:noVBand="1"/>
      </w:tblPr>
      <w:tblGrid>
        <w:gridCol w:w="841"/>
        <w:gridCol w:w="2551"/>
        <w:gridCol w:w="6639"/>
      </w:tblGrid>
      <w:tr w:rsidR="00AA0A8A" w:rsidRPr="00F426FD" w14:paraId="42F68905" w14:textId="77777777" w:rsidTr="00AA0A8A">
        <w:trPr>
          <w:cnfStyle w:val="100000000000" w:firstRow="1" w:lastRow="0" w:firstColumn="0" w:lastColumn="0" w:oddVBand="0" w:evenVBand="0" w:oddHBand="0" w:evenHBand="0" w:firstRowFirstColumn="0" w:firstRowLastColumn="0" w:lastRowFirstColumn="0" w:lastRowLastColumn="0"/>
        </w:trPr>
        <w:tc>
          <w:tcPr>
            <w:tcW w:w="841" w:type="dxa"/>
          </w:tcPr>
          <w:p w14:paraId="3E7D509F" w14:textId="77777777" w:rsidR="00AA0A8A" w:rsidRPr="00F426FD" w:rsidRDefault="00AA0A8A" w:rsidP="000F79BF">
            <w:pPr>
              <w:pStyle w:val="BodyText"/>
              <w:rPr>
                <w:color w:val="FFFFFF" w:themeColor="background1"/>
              </w:rPr>
            </w:pPr>
            <w:r w:rsidRPr="00F426FD">
              <w:rPr>
                <w:color w:val="FFFFFF" w:themeColor="background1"/>
              </w:rPr>
              <w:t>Case</w:t>
            </w:r>
          </w:p>
        </w:tc>
        <w:tc>
          <w:tcPr>
            <w:tcW w:w="2551" w:type="dxa"/>
          </w:tcPr>
          <w:p w14:paraId="688AB954" w14:textId="77777777" w:rsidR="00AA0A8A" w:rsidRPr="00F426FD" w:rsidRDefault="00AA0A8A" w:rsidP="000F79BF">
            <w:pPr>
              <w:pStyle w:val="BodyText"/>
              <w:rPr>
                <w:color w:val="FFFFFF" w:themeColor="background1"/>
              </w:rPr>
            </w:pPr>
            <w:r w:rsidRPr="00F426FD">
              <w:rPr>
                <w:color w:val="FFFFFF" w:themeColor="background1"/>
              </w:rPr>
              <w:t>Title [sic]</w:t>
            </w:r>
          </w:p>
        </w:tc>
        <w:tc>
          <w:tcPr>
            <w:tcW w:w="6639" w:type="dxa"/>
          </w:tcPr>
          <w:p w14:paraId="2CF4B5FD" w14:textId="77777777" w:rsidR="00AA0A8A" w:rsidRPr="00F426FD" w:rsidRDefault="00AA0A8A" w:rsidP="000F79BF">
            <w:pPr>
              <w:pStyle w:val="BodyText"/>
              <w:rPr>
                <w:color w:val="FFFFFF" w:themeColor="background1"/>
              </w:rPr>
            </w:pPr>
            <w:r w:rsidRPr="00F426FD">
              <w:rPr>
                <w:color w:val="FFFFFF" w:themeColor="background1"/>
              </w:rPr>
              <w:t>Details</w:t>
            </w:r>
          </w:p>
        </w:tc>
      </w:tr>
      <w:tr w:rsidR="00AA0A8A" w:rsidRPr="00F426FD" w14:paraId="6CCFE37A" w14:textId="77777777" w:rsidTr="00AA0A8A">
        <w:trPr>
          <w:cnfStyle w:val="000000100000" w:firstRow="0" w:lastRow="0" w:firstColumn="0" w:lastColumn="0" w:oddVBand="0" w:evenVBand="0" w:oddHBand="1" w:evenHBand="0" w:firstRowFirstColumn="0" w:firstRowLastColumn="0" w:lastRowFirstColumn="0" w:lastRowLastColumn="0"/>
        </w:trPr>
        <w:tc>
          <w:tcPr>
            <w:tcW w:w="841" w:type="dxa"/>
          </w:tcPr>
          <w:p w14:paraId="06F3640E" w14:textId="460776F3" w:rsidR="00124450" w:rsidRPr="00F426FD" w:rsidRDefault="00124450" w:rsidP="000F79BF">
            <w:pPr>
              <w:rPr>
                <w:rFonts w:cs="Segoe UI"/>
                <w:szCs w:val="20"/>
              </w:rPr>
            </w:pPr>
            <w:r w:rsidRPr="00124450">
              <w:rPr>
                <w:rFonts w:cs="Segoe UI"/>
                <w:szCs w:val="20"/>
              </w:rPr>
              <w:t>100616</w:t>
            </w:r>
          </w:p>
        </w:tc>
        <w:tc>
          <w:tcPr>
            <w:tcW w:w="2551" w:type="dxa"/>
          </w:tcPr>
          <w:p w14:paraId="42521B64" w14:textId="2C64E7B0" w:rsidR="00AA0A8A" w:rsidRPr="00F426FD" w:rsidRDefault="00AD188D" w:rsidP="000F79BF">
            <w:pPr>
              <w:rPr>
                <w:rFonts w:cs="Segoe UI"/>
                <w:szCs w:val="20"/>
              </w:rPr>
            </w:pPr>
            <w:r>
              <w:rPr>
                <w:rFonts w:cs="Segoe UI"/>
                <w:szCs w:val="20"/>
              </w:rPr>
              <w:t>API – Internal Server Error</w:t>
            </w:r>
          </w:p>
        </w:tc>
        <w:tc>
          <w:tcPr>
            <w:tcW w:w="6639" w:type="dxa"/>
          </w:tcPr>
          <w:p w14:paraId="62F1AEE8" w14:textId="46D34013" w:rsidR="00AA0A8A" w:rsidRPr="00F426FD" w:rsidRDefault="000E4D0E" w:rsidP="000F79BF">
            <w:pPr>
              <w:rPr>
                <w:rFonts w:cs="Segoe UI"/>
                <w:szCs w:val="20"/>
              </w:rPr>
            </w:pPr>
            <w:r>
              <w:rPr>
                <w:rFonts w:cs="Segoe UI"/>
                <w:szCs w:val="20"/>
              </w:rPr>
              <w:t xml:space="preserve">There was an issue with calling the </w:t>
            </w:r>
            <w:proofErr w:type="spellStart"/>
            <w:r w:rsidR="00760EF1">
              <w:rPr>
                <w:rFonts w:cs="Segoe UI"/>
                <w:szCs w:val="20"/>
              </w:rPr>
              <w:t>api</w:t>
            </w:r>
            <w:proofErr w:type="spellEnd"/>
            <w:r w:rsidR="00760EF1">
              <w:rPr>
                <w:rFonts w:cs="Segoe UI"/>
                <w:szCs w:val="20"/>
              </w:rPr>
              <w:t xml:space="preserve">/Handover endpoint </w:t>
            </w:r>
            <w:r w:rsidR="00FC6658">
              <w:rPr>
                <w:rFonts w:cs="Segoe UI"/>
                <w:szCs w:val="20"/>
              </w:rPr>
              <w:t>where it would return a 500 Internal Server Error. This has been corrected and the endpoint can now be called successfully.</w:t>
            </w:r>
          </w:p>
        </w:tc>
      </w:tr>
      <w:tr w:rsidR="009C74C2" w:rsidRPr="00F426FD" w14:paraId="7804C1C0" w14:textId="77777777" w:rsidTr="00AA0A8A">
        <w:tc>
          <w:tcPr>
            <w:tcW w:w="841" w:type="dxa"/>
          </w:tcPr>
          <w:p w14:paraId="7E571412" w14:textId="61D796FF" w:rsidR="009C74C2" w:rsidRPr="00124450" w:rsidRDefault="009C74C2" w:rsidP="009C74C2">
            <w:pPr>
              <w:rPr>
                <w:rFonts w:cs="Segoe UI"/>
                <w:szCs w:val="20"/>
              </w:rPr>
            </w:pPr>
            <w:r w:rsidRPr="00B10F5E">
              <w:rPr>
                <w:rFonts w:cs="Segoe UI"/>
                <w:szCs w:val="20"/>
              </w:rPr>
              <w:t>100663</w:t>
            </w:r>
          </w:p>
        </w:tc>
        <w:tc>
          <w:tcPr>
            <w:tcW w:w="2551" w:type="dxa"/>
          </w:tcPr>
          <w:p w14:paraId="6DA9FF22" w14:textId="14252731" w:rsidR="009C74C2" w:rsidRDefault="009C74C2" w:rsidP="009C74C2">
            <w:pPr>
              <w:rPr>
                <w:rFonts w:cs="Segoe UI"/>
              </w:rPr>
            </w:pPr>
            <w:r w:rsidRPr="07F16A11">
              <w:rPr>
                <w:rFonts w:cs="Segoe UI"/>
              </w:rPr>
              <w:t xml:space="preserve">Issue uploading Tag ITR dig doc with </w:t>
            </w:r>
            <w:r w:rsidR="3A23C3CA" w:rsidRPr="07F16A11">
              <w:rPr>
                <w:rFonts w:cs="Segoe UI"/>
              </w:rPr>
              <w:t>103883</w:t>
            </w:r>
            <w:r w:rsidR="1A242552" w:rsidRPr="07F16A11">
              <w:rPr>
                <w:rFonts w:cs="Segoe UI"/>
              </w:rPr>
              <w:t xml:space="preserve"> </w:t>
            </w:r>
            <w:r w:rsidRPr="07F16A11">
              <w:rPr>
                <w:rFonts w:cs="Segoe UI"/>
              </w:rPr>
              <w:t>PLIs</w:t>
            </w:r>
          </w:p>
        </w:tc>
        <w:tc>
          <w:tcPr>
            <w:tcW w:w="6639" w:type="dxa"/>
          </w:tcPr>
          <w:p w14:paraId="2DAD9A4A" w14:textId="6E80D7F2" w:rsidR="009C74C2" w:rsidRDefault="001746D1" w:rsidP="009C74C2">
            <w:pPr>
              <w:rPr>
                <w:rFonts w:cs="Segoe UI"/>
                <w:szCs w:val="20"/>
              </w:rPr>
            </w:pPr>
            <w:r>
              <w:rPr>
                <w:rFonts w:cs="Segoe UI"/>
                <w:szCs w:val="20"/>
              </w:rPr>
              <w:t xml:space="preserve">Tag ITR Digital Documents with tasks that needed an associated PLI to be raised could be uploaded </w:t>
            </w:r>
            <w:r w:rsidR="003F752D">
              <w:rPr>
                <w:rFonts w:cs="Segoe UI"/>
                <w:szCs w:val="20"/>
              </w:rPr>
              <w:t xml:space="preserve">using the ‘Upload Digital Documents’ page without creating the PLI. A </w:t>
            </w:r>
            <w:r w:rsidR="00CF432C">
              <w:rPr>
                <w:rFonts w:cs="Segoe UI"/>
                <w:szCs w:val="20"/>
              </w:rPr>
              <w:t xml:space="preserve">warning </w:t>
            </w:r>
            <w:r w:rsidR="003F752D">
              <w:rPr>
                <w:rFonts w:cs="Segoe UI"/>
                <w:szCs w:val="20"/>
              </w:rPr>
              <w:t xml:space="preserve">message is now displayed </w:t>
            </w:r>
            <w:r w:rsidR="00CF432C">
              <w:rPr>
                <w:rFonts w:cs="Segoe UI"/>
                <w:szCs w:val="20"/>
              </w:rPr>
              <w:t xml:space="preserve">during upload, to </w:t>
            </w:r>
            <w:r w:rsidR="00EC3077">
              <w:rPr>
                <w:rFonts w:cs="Segoe UI"/>
                <w:szCs w:val="20"/>
              </w:rPr>
              <w:t>remind</w:t>
            </w:r>
            <w:r w:rsidR="00CF432C">
              <w:rPr>
                <w:rFonts w:cs="Segoe UI"/>
                <w:szCs w:val="20"/>
              </w:rPr>
              <w:t xml:space="preserve"> that </w:t>
            </w:r>
            <w:r w:rsidR="00EC3077">
              <w:rPr>
                <w:rFonts w:cs="Segoe UI"/>
                <w:szCs w:val="20"/>
              </w:rPr>
              <w:t xml:space="preserve">the </w:t>
            </w:r>
            <w:r w:rsidR="00CF432C">
              <w:rPr>
                <w:rFonts w:cs="Segoe UI"/>
                <w:szCs w:val="20"/>
              </w:rPr>
              <w:t>PLIs</w:t>
            </w:r>
            <w:r w:rsidR="00EC3077">
              <w:rPr>
                <w:rFonts w:cs="Segoe UI"/>
                <w:szCs w:val="20"/>
              </w:rPr>
              <w:t xml:space="preserve"> must be created separately.</w:t>
            </w:r>
          </w:p>
        </w:tc>
      </w:tr>
      <w:tr w:rsidR="009C74C2" w:rsidRPr="00F426FD" w14:paraId="4CCEB569" w14:textId="77777777" w:rsidTr="00AA0A8A">
        <w:trPr>
          <w:cnfStyle w:val="000000100000" w:firstRow="0" w:lastRow="0" w:firstColumn="0" w:lastColumn="0" w:oddVBand="0" w:evenVBand="0" w:oddHBand="1" w:evenHBand="0" w:firstRowFirstColumn="0" w:firstRowLastColumn="0" w:lastRowFirstColumn="0" w:lastRowLastColumn="0"/>
        </w:trPr>
        <w:tc>
          <w:tcPr>
            <w:tcW w:w="841" w:type="dxa"/>
          </w:tcPr>
          <w:p w14:paraId="7E56C06B" w14:textId="2E7FEFA3" w:rsidR="009C74C2" w:rsidRPr="00F426FD" w:rsidRDefault="009C74C2" w:rsidP="009C74C2">
            <w:pPr>
              <w:rPr>
                <w:rFonts w:cs="Segoe UI"/>
                <w:szCs w:val="20"/>
              </w:rPr>
            </w:pPr>
            <w:r w:rsidRPr="000C2B8A">
              <w:rPr>
                <w:rFonts w:cs="Segoe UI"/>
                <w:szCs w:val="20"/>
              </w:rPr>
              <w:t>100702</w:t>
            </w:r>
          </w:p>
        </w:tc>
        <w:tc>
          <w:tcPr>
            <w:tcW w:w="2551" w:type="dxa"/>
          </w:tcPr>
          <w:p w14:paraId="6120C7DF" w14:textId="69CBF937" w:rsidR="009C74C2" w:rsidRPr="00F426FD" w:rsidRDefault="009C74C2" w:rsidP="009C74C2">
            <w:pPr>
              <w:rPr>
                <w:rFonts w:cs="Segoe UI"/>
                <w:szCs w:val="20"/>
              </w:rPr>
            </w:pPr>
            <w:r>
              <w:rPr>
                <w:rFonts w:cs="Segoe UI"/>
                <w:szCs w:val="20"/>
              </w:rPr>
              <w:t>Handover Dossier showing wrong Discipline</w:t>
            </w:r>
          </w:p>
        </w:tc>
        <w:tc>
          <w:tcPr>
            <w:tcW w:w="6639" w:type="dxa"/>
          </w:tcPr>
          <w:p w14:paraId="41A0B1B8" w14:textId="2DB57829" w:rsidR="009C74C2" w:rsidRPr="00F426FD" w:rsidRDefault="00BB43C9" w:rsidP="00BB43C9">
            <w:pPr>
              <w:rPr>
                <w:rFonts w:cs="Segoe UI"/>
                <w:szCs w:val="20"/>
              </w:rPr>
            </w:pPr>
            <w:r>
              <w:rPr>
                <w:rFonts w:cs="Segoe UI"/>
                <w:szCs w:val="20"/>
              </w:rPr>
              <w:t xml:space="preserve">Handover Dossiers were displaying the </w:t>
            </w:r>
            <w:r w:rsidR="00F739FB">
              <w:rPr>
                <w:rFonts w:cs="Segoe UI"/>
                <w:szCs w:val="20"/>
              </w:rPr>
              <w:t>ITR Discipline when the Handover was set to use the Tag Discipline. This has been corrected so that the Tag Discipline is now shown in the Handover Dossier in this scenario.</w:t>
            </w:r>
          </w:p>
        </w:tc>
      </w:tr>
      <w:tr w:rsidR="009C74C2" w:rsidRPr="00F426FD" w14:paraId="7D5F5B88" w14:textId="77777777" w:rsidTr="00AA0A8A">
        <w:tc>
          <w:tcPr>
            <w:tcW w:w="841" w:type="dxa"/>
          </w:tcPr>
          <w:p w14:paraId="3112679E" w14:textId="1A531833" w:rsidR="009C74C2" w:rsidRPr="00F426FD" w:rsidRDefault="009C74C2" w:rsidP="009C74C2">
            <w:pPr>
              <w:rPr>
                <w:rFonts w:cs="Segoe UI"/>
                <w:szCs w:val="20"/>
              </w:rPr>
            </w:pPr>
            <w:r w:rsidRPr="00830A8B">
              <w:rPr>
                <w:rFonts w:cs="Segoe UI"/>
                <w:szCs w:val="20"/>
              </w:rPr>
              <w:t>100702</w:t>
            </w:r>
          </w:p>
        </w:tc>
        <w:tc>
          <w:tcPr>
            <w:tcW w:w="2551" w:type="dxa"/>
          </w:tcPr>
          <w:p w14:paraId="2A1DF683" w14:textId="29BA66B6" w:rsidR="009C74C2" w:rsidRPr="00F426FD" w:rsidRDefault="009C74C2" w:rsidP="009C74C2">
            <w:pPr>
              <w:rPr>
                <w:rFonts w:cs="Segoe UI"/>
                <w:szCs w:val="20"/>
              </w:rPr>
            </w:pPr>
            <w:r>
              <w:rPr>
                <w:rFonts w:cs="Segoe UI"/>
                <w:szCs w:val="20"/>
              </w:rPr>
              <w:t>Title position in Handover Dossier</w:t>
            </w:r>
          </w:p>
        </w:tc>
        <w:tc>
          <w:tcPr>
            <w:tcW w:w="6639" w:type="dxa"/>
          </w:tcPr>
          <w:p w14:paraId="5A86B876" w14:textId="1F8D3785" w:rsidR="009C74C2" w:rsidRPr="00F426FD" w:rsidRDefault="003D7FAF" w:rsidP="009C74C2">
            <w:pPr>
              <w:rPr>
                <w:rFonts w:cs="Segoe UI"/>
                <w:szCs w:val="20"/>
              </w:rPr>
            </w:pPr>
            <w:r>
              <w:rPr>
                <w:rFonts w:cs="Segoe UI"/>
                <w:szCs w:val="20"/>
              </w:rPr>
              <w:t xml:space="preserve">On some pages in the Handover Dossier the title was being displayed in a </w:t>
            </w:r>
            <w:r w:rsidR="008A785B">
              <w:rPr>
                <w:rFonts w:cs="Segoe UI"/>
                <w:szCs w:val="20"/>
              </w:rPr>
              <w:t xml:space="preserve">different header section to </w:t>
            </w:r>
            <w:r w:rsidR="00D065F3">
              <w:rPr>
                <w:rFonts w:cs="Segoe UI"/>
                <w:szCs w:val="20"/>
              </w:rPr>
              <w:t xml:space="preserve">where it appears in </w:t>
            </w:r>
            <w:r w:rsidR="008A785B">
              <w:rPr>
                <w:rFonts w:cs="Segoe UI"/>
                <w:szCs w:val="20"/>
              </w:rPr>
              <w:t>most reports throughout hub2. This has now been standardised, so that it appears in the same place in the Handover Dossier.</w:t>
            </w:r>
          </w:p>
        </w:tc>
      </w:tr>
      <w:tr w:rsidR="009C74C2" w:rsidRPr="00F426FD" w14:paraId="692772E5" w14:textId="77777777" w:rsidTr="00AA0A8A">
        <w:trPr>
          <w:cnfStyle w:val="000000100000" w:firstRow="0" w:lastRow="0" w:firstColumn="0" w:lastColumn="0" w:oddVBand="0" w:evenVBand="0" w:oddHBand="1" w:evenHBand="0" w:firstRowFirstColumn="0" w:firstRowLastColumn="0" w:lastRowFirstColumn="0" w:lastRowLastColumn="0"/>
        </w:trPr>
        <w:tc>
          <w:tcPr>
            <w:tcW w:w="841" w:type="dxa"/>
          </w:tcPr>
          <w:p w14:paraId="4E477A59" w14:textId="576F404D" w:rsidR="009C74C2" w:rsidRPr="00F426FD" w:rsidRDefault="009C74C2" w:rsidP="009C74C2">
            <w:pPr>
              <w:rPr>
                <w:rFonts w:cs="Segoe UI"/>
                <w:szCs w:val="20"/>
              </w:rPr>
            </w:pPr>
            <w:r w:rsidRPr="00830A8B">
              <w:rPr>
                <w:rFonts w:cs="Segoe UI"/>
                <w:szCs w:val="20"/>
              </w:rPr>
              <w:t>100895</w:t>
            </w:r>
          </w:p>
        </w:tc>
        <w:tc>
          <w:tcPr>
            <w:tcW w:w="2551" w:type="dxa"/>
          </w:tcPr>
          <w:p w14:paraId="272D919C" w14:textId="0F8E6BAE" w:rsidR="009C74C2" w:rsidRPr="00F426FD" w:rsidRDefault="009C74C2" w:rsidP="009C74C2">
            <w:pPr>
              <w:rPr>
                <w:rFonts w:cs="Segoe UI"/>
                <w:szCs w:val="20"/>
              </w:rPr>
            </w:pPr>
            <w:r>
              <w:rPr>
                <w:rFonts w:cs="Segoe UI"/>
                <w:szCs w:val="20"/>
              </w:rPr>
              <w:t>Tag ITR import failing</w:t>
            </w:r>
          </w:p>
        </w:tc>
        <w:tc>
          <w:tcPr>
            <w:tcW w:w="6639" w:type="dxa"/>
          </w:tcPr>
          <w:p w14:paraId="1A37C905" w14:textId="743F05EC" w:rsidR="009C74C2" w:rsidRPr="00F426FD" w:rsidRDefault="00967A0C" w:rsidP="009C74C2">
            <w:pPr>
              <w:rPr>
                <w:rFonts w:cs="Segoe UI"/>
                <w:szCs w:val="20"/>
              </w:rPr>
            </w:pPr>
            <w:r>
              <w:rPr>
                <w:rFonts w:cs="Segoe UI"/>
                <w:szCs w:val="20"/>
              </w:rPr>
              <w:t xml:space="preserve">A client </w:t>
            </w:r>
            <w:r w:rsidR="00502DD0">
              <w:rPr>
                <w:rFonts w:cs="Segoe UI"/>
                <w:szCs w:val="20"/>
              </w:rPr>
              <w:t xml:space="preserve">reported that </w:t>
            </w:r>
            <w:r w:rsidR="001F2BE8">
              <w:rPr>
                <w:rFonts w:cs="Segoe UI"/>
                <w:szCs w:val="20"/>
              </w:rPr>
              <w:t>certain records</w:t>
            </w:r>
            <w:r w:rsidR="0023528A">
              <w:rPr>
                <w:rFonts w:cs="Segoe UI"/>
                <w:szCs w:val="20"/>
              </w:rPr>
              <w:t xml:space="preserve"> with DOTX sign offs</w:t>
            </w:r>
            <w:r w:rsidR="001F2BE8">
              <w:rPr>
                <w:rFonts w:cs="Segoe UI"/>
                <w:szCs w:val="20"/>
              </w:rPr>
              <w:t xml:space="preserve"> could not be imported</w:t>
            </w:r>
            <w:r w:rsidR="0023528A">
              <w:rPr>
                <w:rFonts w:cs="Segoe UI"/>
                <w:szCs w:val="20"/>
              </w:rPr>
              <w:t xml:space="preserve"> successfully. </w:t>
            </w:r>
            <w:r w:rsidR="009F446A">
              <w:rPr>
                <w:rFonts w:cs="Segoe UI"/>
                <w:szCs w:val="20"/>
              </w:rPr>
              <w:t>This</w:t>
            </w:r>
            <w:r w:rsidR="0023528A">
              <w:rPr>
                <w:rFonts w:cs="Segoe UI"/>
                <w:szCs w:val="20"/>
              </w:rPr>
              <w:t xml:space="preserve"> issue </w:t>
            </w:r>
            <w:r w:rsidR="002135E0">
              <w:rPr>
                <w:rFonts w:cs="Segoe UI"/>
                <w:szCs w:val="20"/>
              </w:rPr>
              <w:t xml:space="preserve">will not occur again as this release also includes new functionality to </w:t>
            </w:r>
            <w:r w:rsidR="00B25EE1">
              <w:rPr>
                <w:rFonts w:cs="Segoe UI"/>
                <w:szCs w:val="20"/>
              </w:rPr>
              <w:t>reject DOTXs and remove the sign offs</w:t>
            </w:r>
            <w:r w:rsidR="009F446A">
              <w:rPr>
                <w:rFonts w:cs="Segoe UI"/>
                <w:szCs w:val="20"/>
              </w:rPr>
              <w:t>, which negates the issue.</w:t>
            </w:r>
          </w:p>
        </w:tc>
      </w:tr>
      <w:tr w:rsidR="009E5707" w:rsidRPr="00F426FD" w14:paraId="44FACAAF" w14:textId="77777777" w:rsidTr="00AA0A8A">
        <w:tc>
          <w:tcPr>
            <w:tcW w:w="841" w:type="dxa"/>
          </w:tcPr>
          <w:p w14:paraId="1D469080" w14:textId="3E44917C" w:rsidR="009E5707" w:rsidRPr="00830A8B" w:rsidRDefault="009E5707" w:rsidP="009E5707">
            <w:pPr>
              <w:rPr>
                <w:rFonts w:cs="Segoe UI"/>
                <w:szCs w:val="20"/>
              </w:rPr>
            </w:pPr>
            <w:r w:rsidRPr="001752BF">
              <w:rPr>
                <w:rFonts w:cs="Segoe UI"/>
                <w:szCs w:val="20"/>
              </w:rPr>
              <w:t>101551</w:t>
            </w:r>
          </w:p>
        </w:tc>
        <w:tc>
          <w:tcPr>
            <w:tcW w:w="2551" w:type="dxa"/>
          </w:tcPr>
          <w:p w14:paraId="372239D8" w14:textId="586CE626" w:rsidR="009E5707" w:rsidRDefault="00B638BF" w:rsidP="009E5707">
            <w:pPr>
              <w:rPr>
                <w:rFonts w:cs="Segoe UI"/>
                <w:szCs w:val="20"/>
              </w:rPr>
            </w:pPr>
            <w:r>
              <w:rPr>
                <w:rFonts w:cs="Segoe UI"/>
                <w:szCs w:val="20"/>
              </w:rPr>
              <w:t>Counts in</w:t>
            </w:r>
            <w:r w:rsidR="009E5707">
              <w:rPr>
                <w:rFonts w:cs="Segoe UI"/>
                <w:szCs w:val="20"/>
              </w:rPr>
              <w:t xml:space="preserve"> Process Builder Detailed Report</w:t>
            </w:r>
          </w:p>
        </w:tc>
        <w:tc>
          <w:tcPr>
            <w:tcW w:w="6639" w:type="dxa"/>
          </w:tcPr>
          <w:p w14:paraId="3711E7EA" w14:textId="07B143F1" w:rsidR="009E5707" w:rsidRPr="00F426FD" w:rsidRDefault="00AB270E" w:rsidP="009E5707">
            <w:pPr>
              <w:rPr>
                <w:rFonts w:cs="Segoe UI"/>
                <w:szCs w:val="20"/>
              </w:rPr>
            </w:pPr>
            <w:r>
              <w:rPr>
                <w:rFonts w:cs="Segoe UI"/>
                <w:szCs w:val="20"/>
              </w:rPr>
              <w:t>Some changes have been made to the way th</w:t>
            </w:r>
            <w:r w:rsidR="00AF12EE">
              <w:rPr>
                <w:rFonts w:cs="Segoe UI"/>
                <w:szCs w:val="20"/>
              </w:rPr>
              <w:t>is report determines which stage a Process is currently at</w:t>
            </w:r>
            <w:r w:rsidR="009B3202">
              <w:rPr>
                <w:rFonts w:cs="Segoe UI"/>
                <w:szCs w:val="20"/>
              </w:rPr>
              <w:t>, as requested by users.</w:t>
            </w:r>
          </w:p>
        </w:tc>
      </w:tr>
      <w:tr w:rsidR="007347AC" w:rsidRPr="00F426FD" w14:paraId="52F6F730" w14:textId="77777777" w:rsidTr="00AA0A8A">
        <w:trPr>
          <w:cnfStyle w:val="000000100000" w:firstRow="0" w:lastRow="0" w:firstColumn="0" w:lastColumn="0" w:oddVBand="0" w:evenVBand="0" w:oddHBand="1" w:evenHBand="0" w:firstRowFirstColumn="0" w:firstRowLastColumn="0" w:lastRowFirstColumn="0" w:lastRowLastColumn="0"/>
        </w:trPr>
        <w:tc>
          <w:tcPr>
            <w:tcW w:w="841" w:type="dxa"/>
          </w:tcPr>
          <w:p w14:paraId="07FBFD2E" w14:textId="5DB9E577" w:rsidR="007347AC" w:rsidRPr="001752BF" w:rsidRDefault="007347AC" w:rsidP="007347AC">
            <w:pPr>
              <w:rPr>
                <w:rFonts w:cs="Segoe UI"/>
                <w:szCs w:val="20"/>
              </w:rPr>
            </w:pPr>
            <w:r w:rsidRPr="00B10F5E">
              <w:rPr>
                <w:rFonts w:cs="Segoe UI"/>
                <w:szCs w:val="20"/>
              </w:rPr>
              <w:t>101284</w:t>
            </w:r>
          </w:p>
        </w:tc>
        <w:tc>
          <w:tcPr>
            <w:tcW w:w="2551" w:type="dxa"/>
          </w:tcPr>
          <w:p w14:paraId="692C842E" w14:textId="54CAA9C9" w:rsidR="007347AC" w:rsidRDefault="007347AC" w:rsidP="007347AC">
            <w:pPr>
              <w:rPr>
                <w:rFonts w:cs="Segoe UI"/>
                <w:szCs w:val="20"/>
              </w:rPr>
            </w:pPr>
            <w:r>
              <w:rPr>
                <w:rFonts w:cs="Segoe UI"/>
                <w:szCs w:val="20"/>
              </w:rPr>
              <w:t>Unclear warning message</w:t>
            </w:r>
          </w:p>
        </w:tc>
        <w:tc>
          <w:tcPr>
            <w:tcW w:w="6639" w:type="dxa"/>
          </w:tcPr>
          <w:p w14:paraId="6BD7DAEF" w14:textId="046B8241" w:rsidR="007347AC" w:rsidRPr="00F426FD" w:rsidRDefault="00685112" w:rsidP="007347AC">
            <w:pPr>
              <w:rPr>
                <w:rFonts w:cs="Segoe UI"/>
                <w:szCs w:val="20"/>
              </w:rPr>
            </w:pPr>
            <w:r>
              <w:rPr>
                <w:rFonts w:cs="Segoe UI"/>
                <w:szCs w:val="20"/>
              </w:rPr>
              <w:t xml:space="preserve">The “are you sure?” message displayed when about to delete a report </w:t>
            </w:r>
            <w:r w:rsidR="00BD561E">
              <w:rPr>
                <w:rFonts w:cs="Segoe UI"/>
                <w:szCs w:val="20"/>
              </w:rPr>
              <w:t>was unclear because it did not specify which reports were about to be deleted. The names of the reports have now been added to this message</w:t>
            </w:r>
            <w:r w:rsidR="00150C00">
              <w:rPr>
                <w:rFonts w:cs="Segoe UI"/>
                <w:szCs w:val="20"/>
              </w:rPr>
              <w:t>.</w:t>
            </w:r>
          </w:p>
        </w:tc>
      </w:tr>
      <w:tr w:rsidR="007347AC" w:rsidRPr="00F426FD" w14:paraId="34971E5D" w14:textId="77777777" w:rsidTr="00AA0A8A">
        <w:tc>
          <w:tcPr>
            <w:tcW w:w="841" w:type="dxa"/>
          </w:tcPr>
          <w:p w14:paraId="296FB03B" w14:textId="67725AFE" w:rsidR="007347AC" w:rsidRPr="00F426FD" w:rsidRDefault="007347AC" w:rsidP="007347AC">
            <w:pPr>
              <w:rPr>
                <w:rFonts w:cs="Segoe UI"/>
                <w:szCs w:val="20"/>
              </w:rPr>
            </w:pPr>
            <w:r w:rsidRPr="00830A8B">
              <w:rPr>
                <w:rFonts w:cs="Segoe UI"/>
                <w:szCs w:val="20"/>
              </w:rPr>
              <w:t>101722, 101776</w:t>
            </w:r>
            <w:r>
              <w:rPr>
                <w:rFonts w:cs="Segoe UI"/>
                <w:szCs w:val="20"/>
              </w:rPr>
              <w:t>,</w:t>
            </w:r>
            <w:r w:rsidRPr="00830A8B">
              <w:rPr>
                <w:rFonts w:cs="Segoe UI"/>
                <w:szCs w:val="20"/>
              </w:rPr>
              <w:t xml:space="preserve"> 102071</w:t>
            </w:r>
          </w:p>
        </w:tc>
        <w:tc>
          <w:tcPr>
            <w:tcW w:w="2551" w:type="dxa"/>
          </w:tcPr>
          <w:p w14:paraId="3CC896A2" w14:textId="45FA27B1" w:rsidR="007347AC" w:rsidRPr="00F426FD" w:rsidRDefault="007347AC" w:rsidP="007347AC">
            <w:pPr>
              <w:rPr>
                <w:rFonts w:cs="Segoe UI"/>
                <w:szCs w:val="20"/>
              </w:rPr>
            </w:pPr>
            <w:r>
              <w:rPr>
                <w:rFonts w:cs="Segoe UI"/>
                <w:szCs w:val="20"/>
              </w:rPr>
              <w:t>Summary Report download failing</w:t>
            </w:r>
          </w:p>
        </w:tc>
        <w:tc>
          <w:tcPr>
            <w:tcW w:w="6639" w:type="dxa"/>
          </w:tcPr>
          <w:p w14:paraId="76479E76" w14:textId="3D29019B" w:rsidR="007347AC" w:rsidRPr="00F426FD" w:rsidRDefault="004D04B6" w:rsidP="007347AC">
            <w:pPr>
              <w:rPr>
                <w:rFonts w:cs="Segoe UI"/>
                <w:szCs w:val="20"/>
              </w:rPr>
            </w:pPr>
            <w:r>
              <w:rPr>
                <w:rFonts w:cs="Segoe UI"/>
                <w:szCs w:val="20"/>
              </w:rPr>
              <w:t>Some Summary Reports</w:t>
            </w:r>
            <w:r w:rsidR="00BF3129">
              <w:rPr>
                <w:rFonts w:cs="Segoe UI"/>
                <w:szCs w:val="20"/>
              </w:rPr>
              <w:t xml:space="preserve"> run over very large data sets were timing out</w:t>
            </w:r>
            <w:r w:rsidR="00D452B6">
              <w:rPr>
                <w:rFonts w:cs="Segoe UI"/>
                <w:szCs w:val="20"/>
              </w:rPr>
              <w:t>. Modifications have been made to the timeout limits to allow these large reports to complete running and download successfully.</w:t>
            </w:r>
          </w:p>
        </w:tc>
      </w:tr>
      <w:tr w:rsidR="007347AC" w:rsidRPr="00F426FD" w14:paraId="73DAAFF2" w14:textId="77777777" w:rsidTr="00AA0A8A">
        <w:trPr>
          <w:cnfStyle w:val="000000100000" w:firstRow="0" w:lastRow="0" w:firstColumn="0" w:lastColumn="0" w:oddVBand="0" w:evenVBand="0" w:oddHBand="1" w:evenHBand="0" w:firstRowFirstColumn="0" w:firstRowLastColumn="0" w:lastRowFirstColumn="0" w:lastRowLastColumn="0"/>
        </w:trPr>
        <w:tc>
          <w:tcPr>
            <w:tcW w:w="841" w:type="dxa"/>
          </w:tcPr>
          <w:p w14:paraId="348D82E3" w14:textId="64D0D30A" w:rsidR="007347AC" w:rsidRPr="00B10F5E" w:rsidRDefault="007347AC" w:rsidP="007347AC">
            <w:pPr>
              <w:rPr>
                <w:rFonts w:cs="Segoe UI"/>
                <w:szCs w:val="20"/>
              </w:rPr>
            </w:pPr>
            <w:r w:rsidRPr="004A6E93">
              <w:rPr>
                <w:rFonts w:cs="Segoe UI"/>
                <w:szCs w:val="20"/>
              </w:rPr>
              <w:t>101804</w:t>
            </w:r>
          </w:p>
        </w:tc>
        <w:tc>
          <w:tcPr>
            <w:tcW w:w="2551" w:type="dxa"/>
          </w:tcPr>
          <w:p w14:paraId="33E31F46" w14:textId="4B191951" w:rsidR="007347AC" w:rsidRPr="00F426FD" w:rsidRDefault="007347AC" w:rsidP="007347AC">
            <w:pPr>
              <w:rPr>
                <w:rFonts w:cs="Segoe UI"/>
                <w:szCs w:val="20"/>
              </w:rPr>
            </w:pPr>
            <w:r>
              <w:rPr>
                <w:rFonts w:cs="Segoe UI"/>
                <w:szCs w:val="20"/>
              </w:rPr>
              <w:t>Partial Handover count discrepancy</w:t>
            </w:r>
          </w:p>
        </w:tc>
        <w:tc>
          <w:tcPr>
            <w:tcW w:w="6639" w:type="dxa"/>
          </w:tcPr>
          <w:p w14:paraId="2B338DFB" w14:textId="3F7FD8D2" w:rsidR="007347AC" w:rsidRPr="00F426FD" w:rsidRDefault="00D20D2F" w:rsidP="007347AC">
            <w:pPr>
              <w:rPr>
                <w:rFonts w:cs="Segoe UI"/>
                <w:szCs w:val="20"/>
              </w:rPr>
            </w:pPr>
            <w:r>
              <w:rPr>
                <w:rFonts w:cs="Segoe UI"/>
                <w:szCs w:val="20"/>
              </w:rPr>
              <w:t xml:space="preserve">There was a discrepancy between the count of handovers displayed on the dashboard and </w:t>
            </w:r>
            <w:r w:rsidR="00DD0B85">
              <w:rPr>
                <w:rFonts w:cs="Segoe UI"/>
                <w:szCs w:val="20"/>
              </w:rPr>
              <w:t>the count seen when using the Handovers Search page.</w:t>
            </w:r>
            <w:r w:rsidR="00A07392">
              <w:rPr>
                <w:rFonts w:cs="Segoe UI"/>
                <w:szCs w:val="20"/>
              </w:rPr>
              <w:t xml:space="preserve"> This issue only occurred if there were some Partial Handovers.</w:t>
            </w:r>
            <w:r w:rsidR="00DD0B85">
              <w:rPr>
                <w:rFonts w:cs="Segoe UI"/>
                <w:szCs w:val="20"/>
              </w:rPr>
              <w:t xml:space="preserve"> The count on the dashboard has </w:t>
            </w:r>
            <w:r w:rsidR="00A07392">
              <w:rPr>
                <w:rFonts w:cs="Segoe UI"/>
                <w:szCs w:val="20"/>
              </w:rPr>
              <w:t xml:space="preserve">now </w:t>
            </w:r>
            <w:r w:rsidR="00DD0B85">
              <w:rPr>
                <w:rFonts w:cs="Segoe UI"/>
                <w:szCs w:val="20"/>
              </w:rPr>
              <w:t>been corrected</w:t>
            </w:r>
            <w:r w:rsidR="00A07392">
              <w:rPr>
                <w:rFonts w:cs="Segoe UI"/>
                <w:szCs w:val="20"/>
              </w:rPr>
              <w:t>.</w:t>
            </w:r>
          </w:p>
        </w:tc>
      </w:tr>
      <w:tr w:rsidR="00A60831" w:rsidRPr="00F426FD" w14:paraId="47953693" w14:textId="77777777" w:rsidTr="00AA0A8A">
        <w:tc>
          <w:tcPr>
            <w:tcW w:w="841" w:type="dxa"/>
          </w:tcPr>
          <w:p w14:paraId="1E2B4DF3" w14:textId="423F1D8F" w:rsidR="00C02E13" w:rsidRPr="004A6E93" w:rsidRDefault="00A60831" w:rsidP="007347AC">
            <w:pPr>
              <w:rPr>
                <w:rFonts w:cs="Segoe UI"/>
                <w:szCs w:val="20"/>
              </w:rPr>
            </w:pPr>
            <w:r>
              <w:rPr>
                <w:rFonts w:cs="Segoe UI"/>
                <w:szCs w:val="20"/>
              </w:rPr>
              <w:t>10</w:t>
            </w:r>
            <w:r w:rsidR="00C02E13">
              <w:rPr>
                <w:rFonts w:cs="Segoe UI"/>
                <w:szCs w:val="20"/>
              </w:rPr>
              <w:t>2298</w:t>
            </w:r>
          </w:p>
        </w:tc>
        <w:tc>
          <w:tcPr>
            <w:tcW w:w="2551" w:type="dxa"/>
          </w:tcPr>
          <w:p w14:paraId="7E5A3851" w14:textId="27EF4581" w:rsidR="00A60831" w:rsidRDefault="005B5A38" w:rsidP="007347AC">
            <w:pPr>
              <w:rPr>
                <w:rFonts w:cs="Segoe UI"/>
                <w:szCs w:val="20"/>
              </w:rPr>
            </w:pPr>
            <w:r>
              <w:rPr>
                <w:rFonts w:cs="Segoe UI"/>
                <w:szCs w:val="20"/>
              </w:rPr>
              <w:t>Tag ITR Search page not loading fully</w:t>
            </w:r>
          </w:p>
        </w:tc>
        <w:tc>
          <w:tcPr>
            <w:tcW w:w="6639" w:type="dxa"/>
          </w:tcPr>
          <w:p w14:paraId="662F81D8" w14:textId="13663644" w:rsidR="00A60831" w:rsidRDefault="005B5A38" w:rsidP="007347AC">
            <w:pPr>
              <w:rPr>
                <w:rFonts w:cs="Segoe UI"/>
                <w:szCs w:val="20"/>
              </w:rPr>
            </w:pPr>
            <w:r>
              <w:rPr>
                <w:rFonts w:cs="Segoe UI"/>
                <w:szCs w:val="20"/>
              </w:rPr>
              <w:t>A client reported an issue where the Tag ITR Search page was not displaying properly. This was</w:t>
            </w:r>
            <w:r w:rsidR="005872BA">
              <w:rPr>
                <w:rFonts w:cs="Segoe UI"/>
                <w:szCs w:val="20"/>
              </w:rPr>
              <w:t xml:space="preserve"> due to a Sign Off name that contained apostrophes which was preventing the page from rendering correctly. </w:t>
            </w:r>
            <w:r w:rsidR="001A2AE7">
              <w:rPr>
                <w:rFonts w:cs="Segoe UI"/>
                <w:szCs w:val="20"/>
              </w:rPr>
              <w:t>Extra validation has now been added when creating Sign Off names, to ensure that it is not possible to create one that contains an invalid character such as an apostrophe.</w:t>
            </w:r>
          </w:p>
        </w:tc>
      </w:tr>
      <w:tr w:rsidR="007347AC" w:rsidRPr="00F426FD" w14:paraId="5996B283" w14:textId="77777777" w:rsidTr="00AA0A8A">
        <w:trPr>
          <w:cnfStyle w:val="000000100000" w:firstRow="0" w:lastRow="0" w:firstColumn="0" w:lastColumn="0" w:oddVBand="0" w:evenVBand="0" w:oddHBand="1" w:evenHBand="0" w:firstRowFirstColumn="0" w:firstRowLastColumn="0" w:lastRowFirstColumn="0" w:lastRowLastColumn="0"/>
        </w:trPr>
        <w:tc>
          <w:tcPr>
            <w:tcW w:w="841" w:type="dxa"/>
          </w:tcPr>
          <w:p w14:paraId="55C87EFB" w14:textId="3C0A5D1D" w:rsidR="007347AC" w:rsidRPr="00B10F5E" w:rsidRDefault="007347AC" w:rsidP="007347AC">
            <w:pPr>
              <w:rPr>
                <w:rFonts w:cs="Segoe UI"/>
                <w:szCs w:val="20"/>
              </w:rPr>
            </w:pPr>
            <w:r w:rsidRPr="004A6E93">
              <w:rPr>
                <w:rFonts w:cs="Segoe UI"/>
                <w:szCs w:val="20"/>
              </w:rPr>
              <w:t>102340</w:t>
            </w:r>
          </w:p>
        </w:tc>
        <w:tc>
          <w:tcPr>
            <w:tcW w:w="2551" w:type="dxa"/>
          </w:tcPr>
          <w:p w14:paraId="07BC480A" w14:textId="5C0F86F1" w:rsidR="007347AC" w:rsidRPr="00F426FD" w:rsidRDefault="007347AC" w:rsidP="007347AC">
            <w:pPr>
              <w:rPr>
                <w:rFonts w:cs="Segoe UI"/>
                <w:szCs w:val="20"/>
              </w:rPr>
            </w:pPr>
            <w:r>
              <w:rPr>
                <w:rFonts w:cs="Segoe UI"/>
                <w:szCs w:val="20"/>
              </w:rPr>
              <w:t>Issue with PLI Schema</w:t>
            </w:r>
          </w:p>
        </w:tc>
        <w:tc>
          <w:tcPr>
            <w:tcW w:w="6639" w:type="dxa"/>
          </w:tcPr>
          <w:p w14:paraId="5D246DD7" w14:textId="63233D9E" w:rsidR="007347AC" w:rsidRPr="00F426FD" w:rsidRDefault="001A19E8" w:rsidP="007347AC">
            <w:pPr>
              <w:rPr>
                <w:rFonts w:cs="Segoe UI"/>
                <w:szCs w:val="20"/>
              </w:rPr>
            </w:pPr>
            <w:r>
              <w:rPr>
                <w:rFonts w:cs="Segoe UI"/>
                <w:szCs w:val="20"/>
              </w:rPr>
              <w:t xml:space="preserve">A client reported an issue where the details of the PLI Schema were not being displayed on the </w:t>
            </w:r>
            <w:r w:rsidR="0089520C">
              <w:rPr>
                <w:rFonts w:cs="Segoe UI"/>
                <w:szCs w:val="20"/>
              </w:rPr>
              <w:t>Edit Punch List Item Auto Number page. This has been corrected and the details display correctly and can be edited/saved.</w:t>
            </w:r>
          </w:p>
        </w:tc>
      </w:tr>
      <w:tr w:rsidR="00361737" w:rsidRPr="00F426FD" w14:paraId="58D068D4" w14:textId="77777777" w:rsidTr="00AA0A8A">
        <w:tc>
          <w:tcPr>
            <w:tcW w:w="841" w:type="dxa"/>
          </w:tcPr>
          <w:p w14:paraId="3F8F37E3" w14:textId="615A48A3" w:rsidR="00361737" w:rsidRPr="004A6E93" w:rsidRDefault="00361737" w:rsidP="007347AC">
            <w:pPr>
              <w:rPr>
                <w:rFonts w:cs="Segoe UI"/>
                <w:szCs w:val="20"/>
              </w:rPr>
            </w:pPr>
            <w:r w:rsidRPr="00361737">
              <w:rPr>
                <w:rFonts w:cs="Segoe UI"/>
                <w:szCs w:val="20"/>
              </w:rPr>
              <w:lastRenderedPageBreak/>
              <w:t>102390</w:t>
            </w:r>
          </w:p>
        </w:tc>
        <w:tc>
          <w:tcPr>
            <w:tcW w:w="2551" w:type="dxa"/>
          </w:tcPr>
          <w:p w14:paraId="745FD99A" w14:textId="107DFBE1" w:rsidR="00361737" w:rsidRDefault="00180FC4" w:rsidP="007347AC">
            <w:pPr>
              <w:rPr>
                <w:rFonts w:cs="Segoe UI"/>
                <w:szCs w:val="20"/>
              </w:rPr>
            </w:pPr>
            <w:r>
              <w:rPr>
                <w:rFonts w:cs="Segoe UI"/>
                <w:szCs w:val="20"/>
              </w:rPr>
              <w:t>Error when raising a PLI</w:t>
            </w:r>
          </w:p>
        </w:tc>
        <w:tc>
          <w:tcPr>
            <w:tcW w:w="6639" w:type="dxa"/>
          </w:tcPr>
          <w:p w14:paraId="1C2BD67E" w14:textId="6F39E83C" w:rsidR="00361737" w:rsidRPr="00F426FD" w:rsidRDefault="00493A8D" w:rsidP="007347AC">
            <w:pPr>
              <w:rPr>
                <w:rFonts w:cs="Segoe UI"/>
                <w:szCs w:val="20"/>
              </w:rPr>
            </w:pPr>
            <w:r>
              <w:rPr>
                <w:rFonts w:cs="Segoe UI"/>
                <w:szCs w:val="20"/>
              </w:rPr>
              <w:t>A</w:t>
            </w:r>
            <w:r w:rsidR="007B3138">
              <w:rPr>
                <w:rFonts w:cs="Segoe UI"/>
                <w:szCs w:val="20"/>
              </w:rPr>
              <w:t xml:space="preserve">n error message was displayed when raising a PLI </w:t>
            </w:r>
            <w:r w:rsidR="001A0135">
              <w:rPr>
                <w:rFonts w:cs="Segoe UI"/>
                <w:szCs w:val="20"/>
              </w:rPr>
              <w:t xml:space="preserve">from within a Tag ITR if the associated Tag included a dash in the name. </w:t>
            </w:r>
            <w:r w:rsidR="00A17C4D">
              <w:rPr>
                <w:rFonts w:cs="Segoe UI"/>
                <w:szCs w:val="20"/>
              </w:rPr>
              <w:t>This has been modified so that it is possible to save the PLI when there is a dash in the Tag name.</w:t>
            </w:r>
          </w:p>
        </w:tc>
      </w:tr>
      <w:tr w:rsidR="007347AC" w:rsidRPr="00F426FD" w14:paraId="08F75157" w14:textId="77777777" w:rsidTr="00AA0A8A">
        <w:trPr>
          <w:cnfStyle w:val="000000100000" w:firstRow="0" w:lastRow="0" w:firstColumn="0" w:lastColumn="0" w:oddVBand="0" w:evenVBand="0" w:oddHBand="1" w:evenHBand="0" w:firstRowFirstColumn="0" w:firstRowLastColumn="0" w:lastRowFirstColumn="0" w:lastRowLastColumn="0"/>
        </w:trPr>
        <w:tc>
          <w:tcPr>
            <w:tcW w:w="841" w:type="dxa"/>
          </w:tcPr>
          <w:p w14:paraId="21F0B386" w14:textId="775A148C" w:rsidR="007347AC" w:rsidRPr="00B10F5E" w:rsidRDefault="007347AC" w:rsidP="007347AC">
            <w:pPr>
              <w:rPr>
                <w:rFonts w:cs="Segoe UI"/>
                <w:szCs w:val="20"/>
              </w:rPr>
            </w:pPr>
            <w:r w:rsidRPr="001752BF">
              <w:rPr>
                <w:rFonts w:cs="Segoe UI"/>
                <w:szCs w:val="20"/>
              </w:rPr>
              <w:t>102415</w:t>
            </w:r>
          </w:p>
        </w:tc>
        <w:tc>
          <w:tcPr>
            <w:tcW w:w="2551" w:type="dxa"/>
          </w:tcPr>
          <w:p w14:paraId="2A23DF91" w14:textId="08480497" w:rsidR="007347AC" w:rsidRPr="00F426FD" w:rsidRDefault="007347AC" w:rsidP="007347AC">
            <w:pPr>
              <w:rPr>
                <w:rFonts w:cs="Segoe UI"/>
                <w:szCs w:val="20"/>
              </w:rPr>
            </w:pPr>
            <w:r>
              <w:rPr>
                <w:rFonts w:cs="Segoe UI"/>
                <w:szCs w:val="20"/>
              </w:rPr>
              <w:t>Users able to see Default Sign Offs page</w:t>
            </w:r>
          </w:p>
        </w:tc>
        <w:tc>
          <w:tcPr>
            <w:tcW w:w="6639" w:type="dxa"/>
          </w:tcPr>
          <w:p w14:paraId="3D4486E2" w14:textId="22ECA1F9" w:rsidR="007347AC" w:rsidRPr="00F426FD" w:rsidRDefault="00383FDA" w:rsidP="007347AC">
            <w:pPr>
              <w:rPr>
                <w:rFonts w:cs="Segoe UI"/>
                <w:szCs w:val="20"/>
              </w:rPr>
            </w:pPr>
            <w:r>
              <w:rPr>
                <w:rFonts w:cs="Segoe UI"/>
                <w:szCs w:val="20"/>
              </w:rPr>
              <w:t>Some users were able to see the Default Sign Offs configuration page when they should not have been able to. This has been corrected.</w:t>
            </w:r>
          </w:p>
        </w:tc>
      </w:tr>
      <w:tr w:rsidR="007347AC" w:rsidRPr="00F426FD" w14:paraId="59327A77" w14:textId="77777777" w:rsidTr="00AA0A8A">
        <w:tc>
          <w:tcPr>
            <w:tcW w:w="841" w:type="dxa"/>
          </w:tcPr>
          <w:p w14:paraId="18B1C61B" w14:textId="2D0417EC" w:rsidR="007347AC" w:rsidRPr="00B10F5E" w:rsidRDefault="007347AC" w:rsidP="007347AC">
            <w:pPr>
              <w:rPr>
                <w:rFonts w:cs="Segoe UI"/>
                <w:szCs w:val="20"/>
              </w:rPr>
            </w:pPr>
            <w:r w:rsidRPr="00AD1114">
              <w:rPr>
                <w:rFonts w:cs="Segoe UI"/>
                <w:szCs w:val="20"/>
              </w:rPr>
              <w:t>102514</w:t>
            </w:r>
          </w:p>
        </w:tc>
        <w:tc>
          <w:tcPr>
            <w:tcW w:w="2551" w:type="dxa"/>
          </w:tcPr>
          <w:p w14:paraId="7709A7A9" w14:textId="494C2B36" w:rsidR="007347AC" w:rsidRPr="00F426FD" w:rsidRDefault="007347AC" w:rsidP="007347AC">
            <w:pPr>
              <w:rPr>
                <w:rFonts w:cs="Segoe UI"/>
                <w:szCs w:val="20"/>
              </w:rPr>
            </w:pPr>
            <w:r>
              <w:rPr>
                <w:rFonts w:cs="Segoe UI"/>
                <w:szCs w:val="20"/>
              </w:rPr>
              <w:t>Imports containing newline character failing</w:t>
            </w:r>
          </w:p>
        </w:tc>
        <w:tc>
          <w:tcPr>
            <w:tcW w:w="6639" w:type="dxa"/>
          </w:tcPr>
          <w:p w14:paraId="487204E4" w14:textId="57F9BE12" w:rsidR="007347AC" w:rsidRPr="00F426FD" w:rsidRDefault="005103AE" w:rsidP="007347AC">
            <w:pPr>
              <w:rPr>
                <w:rFonts w:cs="Segoe UI"/>
                <w:szCs w:val="20"/>
              </w:rPr>
            </w:pPr>
            <w:r>
              <w:rPr>
                <w:rFonts w:cs="Segoe UI"/>
                <w:szCs w:val="20"/>
              </w:rPr>
              <w:t>Imports that contained a newline character in a field were failing. The</w:t>
            </w:r>
            <w:r w:rsidR="00226B19">
              <w:rPr>
                <w:rFonts w:cs="Segoe UI"/>
                <w:szCs w:val="20"/>
              </w:rPr>
              <w:t xml:space="preserve"> imports have been improved to allow this character to be read successfully</w:t>
            </w:r>
            <w:r w:rsidR="00974697">
              <w:rPr>
                <w:rFonts w:cs="Segoe UI"/>
                <w:szCs w:val="20"/>
              </w:rPr>
              <w:t xml:space="preserve"> without an error.</w:t>
            </w:r>
          </w:p>
        </w:tc>
      </w:tr>
      <w:tr w:rsidR="007347AC" w:rsidRPr="00F426FD" w14:paraId="7BB47307" w14:textId="77777777" w:rsidTr="00AA0A8A">
        <w:trPr>
          <w:cnfStyle w:val="000000100000" w:firstRow="0" w:lastRow="0" w:firstColumn="0" w:lastColumn="0" w:oddVBand="0" w:evenVBand="0" w:oddHBand="1" w:evenHBand="0" w:firstRowFirstColumn="0" w:firstRowLastColumn="0" w:lastRowFirstColumn="0" w:lastRowLastColumn="0"/>
        </w:trPr>
        <w:tc>
          <w:tcPr>
            <w:tcW w:w="841" w:type="dxa"/>
          </w:tcPr>
          <w:p w14:paraId="2D016D3E" w14:textId="14CA0B1C" w:rsidR="007347AC" w:rsidRPr="00AD1114" w:rsidRDefault="007347AC" w:rsidP="007347AC">
            <w:pPr>
              <w:rPr>
                <w:rFonts w:cs="Segoe UI"/>
                <w:szCs w:val="20"/>
              </w:rPr>
            </w:pPr>
            <w:r w:rsidRPr="00AD1114">
              <w:rPr>
                <w:rFonts w:cs="Segoe UI"/>
                <w:szCs w:val="20"/>
              </w:rPr>
              <w:t>102554</w:t>
            </w:r>
          </w:p>
        </w:tc>
        <w:tc>
          <w:tcPr>
            <w:tcW w:w="2551" w:type="dxa"/>
          </w:tcPr>
          <w:p w14:paraId="2AC8B9D8" w14:textId="19CBBC36" w:rsidR="007347AC" w:rsidRPr="00F426FD" w:rsidRDefault="007347AC" w:rsidP="007347AC">
            <w:pPr>
              <w:rPr>
                <w:rFonts w:cs="Segoe UI"/>
                <w:szCs w:val="20"/>
              </w:rPr>
            </w:pPr>
            <w:r>
              <w:rPr>
                <w:rFonts w:cs="Segoe UI"/>
                <w:szCs w:val="20"/>
              </w:rPr>
              <w:t>Access Denied when reassigning Process Builder stage</w:t>
            </w:r>
          </w:p>
        </w:tc>
        <w:tc>
          <w:tcPr>
            <w:tcW w:w="6639" w:type="dxa"/>
          </w:tcPr>
          <w:p w14:paraId="718E5088" w14:textId="08A0EE60" w:rsidR="007347AC" w:rsidRPr="00F426FD" w:rsidRDefault="008518C6" w:rsidP="007347AC">
            <w:pPr>
              <w:rPr>
                <w:rFonts w:cs="Segoe UI"/>
                <w:szCs w:val="20"/>
              </w:rPr>
            </w:pPr>
            <w:r>
              <w:rPr>
                <w:rFonts w:cs="Segoe UI"/>
                <w:szCs w:val="20"/>
              </w:rPr>
              <w:t xml:space="preserve">When reassigning </w:t>
            </w:r>
            <w:r w:rsidR="00355437">
              <w:rPr>
                <w:rFonts w:cs="Segoe UI"/>
                <w:szCs w:val="20"/>
              </w:rPr>
              <w:t>a Process to another user, users would see an Access Denied message when the page reloaded</w:t>
            </w:r>
            <w:r w:rsidR="00486CB4">
              <w:rPr>
                <w:rFonts w:cs="Segoe UI"/>
                <w:szCs w:val="20"/>
              </w:rPr>
              <w:t>. This was d</w:t>
            </w:r>
            <w:r w:rsidR="00355437">
              <w:rPr>
                <w:rFonts w:cs="Segoe UI"/>
                <w:szCs w:val="20"/>
              </w:rPr>
              <w:t xml:space="preserve">ue to them no longer having permissions to </w:t>
            </w:r>
            <w:r w:rsidR="00AC2DD6">
              <w:rPr>
                <w:rFonts w:cs="Segoe UI"/>
                <w:szCs w:val="20"/>
              </w:rPr>
              <w:t>edit</w:t>
            </w:r>
            <w:r w:rsidR="00355437">
              <w:rPr>
                <w:rFonts w:cs="Segoe UI"/>
                <w:szCs w:val="20"/>
              </w:rPr>
              <w:t xml:space="preserve"> the Process</w:t>
            </w:r>
            <w:r w:rsidR="00AC2DD6">
              <w:rPr>
                <w:rFonts w:cs="Segoe UI"/>
                <w:szCs w:val="20"/>
              </w:rPr>
              <w:t xml:space="preserve"> Document</w:t>
            </w:r>
            <w:r w:rsidR="00355437">
              <w:rPr>
                <w:rFonts w:cs="Segoe UI"/>
                <w:szCs w:val="20"/>
              </w:rPr>
              <w:t xml:space="preserve"> because it was </w:t>
            </w:r>
            <w:r w:rsidR="00AC2DD6">
              <w:rPr>
                <w:rFonts w:cs="Segoe UI"/>
                <w:szCs w:val="20"/>
              </w:rPr>
              <w:t>no longer assigned to them</w:t>
            </w:r>
            <w:r w:rsidR="00355437">
              <w:rPr>
                <w:rFonts w:cs="Segoe UI"/>
                <w:szCs w:val="20"/>
              </w:rPr>
              <w:t xml:space="preserve">. This has been changed so that the user is redirected back to </w:t>
            </w:r>
            <w:r w:rsidR="00AC2DD6">
              <w:rPr>
                <w:rFonts w:cs="Segoe UI"/>
                <w:szCs w:val="20"/>
              </w:rPr>
              <w:t xml:space="preserve">View </w:t>
            </w:r>
            <w:r w:rsidR="00486CB4">
              <w:rPr>
                <w:rFonts w:cs="Segoe UI"/>
                <w:szCs w:val="20"/>
              </w:rPr>
              <w:t>Process Document page instead</w:t>
            </w:r>
            <w:r w:rsidR="00172896">
              <w:rPr>
                <w:rFonts w:cs="Segoe UI"/>
                <w:szCs w:val="20"/>
              </w:rPr>
              <w:t xml:space="preserve"> of seeing the Access Denied message.</w:t>
            </w:r>
          </w:p>
        </w:tc>
      </w:tr>
      <w:tr w:rsidR="007347AC" w:rsidRPr="00F426FD" w14:paraId="344DF556" w14:textId="77777777" w:rsidTr="00AA0A8A">
        <w:tc>
          <w:tcPr>
            <w:tcW w:w="841" w:type="dxa"/>
          </w:tcPr>
          <w:p w14:paraId="76936469" w14:textId="1BBE2FD7" w:rsidR="007347AC" w:rsidRPr="00AD1114" w:rsidRDefault="007347AC" w:rsidP="007347AC">
            <w:pPr>
              <w:rPr>
                <w:rFonts w:cs="Segoe UI"/>
                <w:szCs w:val="20"/>
              </w:rPr>
            </w:pPr>
            <w:r w:rsidRPr="00AD1114">
              <w:rPr>
                <w:rFonts w:cs="Segoe UI"/>
                <w:szCs w:val="20"/>
              </w:rPr>
              <w:t>102601</w:t>
            </w:r>
          </w:p>
        </w:tc>
        <w:tc>
          <w:tcPr>
            <w:tcW w:w="2551" w:type="dxa"/>
          </w:tcPr>
          <w:p w14:paraId="0F800436" w14:textId="20FD8FE5" w:rsidR="007347AC" w:rsidRDefault="007347AC" w:rsidP="007347AC">
            <w:pPr>
              <w:rPr>
                <w:rFonts w:cs="Segoe UI"/>
                <w:szCs w:val="20"/>
              </w:rPr>
            </w:pPr>
            <w:r>
              <w:rPr>
                <w:rFonts w:cs="Segoe UI"/>
                <w:szCs w:val="20"/>
              </w:rPr>
              <w:t>Issue saving Tag ITR</w:t>
            </w:r>
          </w:p>
        </w:tc>
        <w:tc>
          <w:tcPr>
            <w:tcW w:w="6639" w:type="dxa"/>
          </w:tcPr>
          <w:p w14:paraId="3D2E4D08" w14:textId="72AFD549" w:rsidR="007347AC" w:rsidRPr="00F426FD" w:rsidRDefault="00C249BA" w:rsidP="007347AC">
            <w:pPr>
              <w:rPr>
                <w:rFonts w:cs="Segoe UI"/>
                <w:szCs w:val="20"/>
              </w:rPr>
            </w:pPr>
            <w:r>
              <w:rPr>
                <w:rFonts w:cs="Segoe UI"/>
                <w:szCs w:val="20"/>
              </w:rPr>
              <w:t xml:space="preserve">A client reported that </w:t>
            </w:r>
            <w:r w:rsidR="001C15E6">
              <w:rPr>
                <w:rFonts w:cs="Segoe UI"/>
                <w:szCs w:val="20"/>
              </w:rPr>
              <w:t xml:space="preserve">they were not able to save </w:t>
            </w:r>
            <w:r>
              <w:rPr>
                <w:rFonts w:cs="Segoe UI"/>
                <w:szCs w:val="20"/>
              </w:rPr>
              <w:t>a Tag ITR</w:t>
            </w:r>
            <w:r w:rsidR="001C15E6">
              <w:rPr>
                <w:rFonts w:cs="Segoe UI"/>
                <w:szCs w:val="20"/>
              </w:rPr>
              <w:t xml:space="preserve"> digital document. It was failing due to the size and complexity of the document. A modification has been made to allow</w:t>
            </w:r>
            <w:r w:rsidR="006D222B">
              <w:rPr>
                <w:rFonts w:cs="Segoe UI"/>
                <w:szCs w:val="20"/>
              </w:rPr>
              <w:t xml:space="preserve"> digital documents of that complexity level to be saved successfully.</w:t>
            </w:r>
          </w:p>
        </w:tc>
      </w:tr>
      <w:tr w:rsidR="006003DF" w:rsidRPr="00F426FD" w14:paraId="0E3A7E19" w14:textId="77777777" w:rsidTr="00AA0A8A">
        <w:trPr>
          <w:cnfStyle w:val="000000100000" w:firstRow="0" w:lastRow="0" w:firstColumn="0" w:lastColumn="0" w:oddVBand="0" w:evenVBand="0" w:oddHBand="1" w:evenHBand="0" w:firstRowFirstColumn="0" w:firstRowLastColumn="0" w:lastRowFirstColumn="0" w:lastRowLastColumn="0"/>
        </w:trPr>
        <w:tc>
          <w:tcPr>
            <w:tcW w:w="841" w:type="dxa"/>
          </w:tcPr>
          <w:p w14:paraId="2D6DF84F" w14:textId="7F4BC106" w:rsidR="00105CBE" w:rsidRPr="00AD1114" w:rsidRDefault="00F2069D" w:rsidP="007347AC">
            <w:pPr>
              <w:rPr>
                <w:rFonts w:cs="Segoe UI"/>
                <w:szCs w:val="20"/>
              </w:rPr>
            </w:pPr>
            <w:r w:rsidRPr="00F2069D">
              <w:rPr>
                <w:rFonts w:cs="Segoe UI"/>
                <w:szCs w:val="20"/>
              </w:rPr>
              <w:t>102977</w:t>
            </w:r>
          </w:p>
        </w:tc>
        <w:tc>
          <w:tcPr>
            <w:tcW w:w="2551" w:type="dxa"/>
          </w:tcPr>
          <w:p w14:paraId="6EDBBFC5" w14:textId="5A6471D7" w:rsidR="006003DF" w:rsidRDefault="007F1373" w:rsidP="007347AC">
            <w:pPr>
              <w:rPr>
                <w:rFonts w:cs="Segoe UI"/>
                <w:szCs w:val="20"/>
              </w:rPr>
            </w:pPr>
            <w:r>
              <w:rPr>
                <w:rFonts w:cs="Segoe UI"/>
                <w:szCs w:val="20"/>
              </w:rPr>
              <w:t>Sign Off</w:t>
            </w:r>
            <w:r w:rsidR="000A731F">
              <w:rPr>
                <w:rFonts w:cs="Segoe UI"/>
                <w:szCs w:val="20"/>
              </w:rPr>
              <w:t xml:space="preserve"> field incorrectly</w:t>
            </w:r>
            <w:r>
              <w:rPr>
                <w:rFonts w:cs="Segoe UI"/>
                <w:szCs w:val="20"/>
              </w:rPr>
              <w:t xml:space="preserve"> </w:t>
            </w:r>
            <w:r w:rsidR="000A731F">
              <w:rPr>
                <w:rFonts w:cs="Segoe UI"/>
                <w:szCs w:val="20"/>
              </w:rPr>
              <w:t>available as field option in Detailed Report</w:t>
            </w:r>
          </w:p>
        </w:tc>
        <w:tc>
          <w:tcPr>
            <w:tcW w:w="6639" w:type="dxa"/>
          </w:tcPr>
          <w:p w14:paraId="7F58D6EF" w14:textId="3EA3DFFA" w:rsidR="006003DF" w:rsidRDefault="00D36A26" w:rsidP="007347AC">
            <w:pPr>
              <w:rPr>
                <w:rFonts w:cs="Segoe UI"/>
                <w:szCs w:val="20"/>
              </w:rPr>
            </w:pPr>
            <w:r>
              <w:rPr>
                <w:rFonts w:cs="Segoe UI"/>
                <w:szCs w:val="20"/>
              </w:rPr>
              <w:t xml:space="preserve">When selecting fields for inclusion in a Tag ITR Detailed Report, </w:t>
            </w:r>
            <w:r w:rsidR="006458C7">
              <w:rPr>
                <w:rFonts w:cs="Segoe UI"/>
                <w:szCs w:val="20"/>
              </w:rPr>
              <w:t xml:space="preserve">sign off fields that belonged to other levels </w:t>
            </w:r>
            <w:r w:rsidR="00AD41E4">
              <w:rPr>
                <w:rFonts w:cs="Segoe UI"/>
                <w:szCs w:val="20"/>
              </w:rPr>
              <w:t>were sometimes available for selection. These options have now been removed.</w:t>
            </w:r>
          </w:p>
        </w:tc>
      </w:tr>
    </w:tbl>
    <w:p w14:paraId="7666DEAB" w14:textId="14FD6DCC" w:rsidR="00AA0A8A" w:rsidRDefault="00AA0A8A" w:rsidP="00AA0A8A">
      <w:pPr>
        <w:pStyle w:val="Woodsubhead1-bulletednumberteal"/>
      </w:pPr>
      <w:r>
        <w:t>Features</w:t>
      </w:r>
    </w:p>
    <w:p w14:paraId="751F11B5" w14:textId="4BC2C6FD" w:rsidR="00AA0A8A" w:rsidRDefault="00AA0A8A" w:rsidP="00AA0A8A">
      <w:r>
        <w:t>The following functionality has been added in v1.</w:t>
      </w:r>
      <w:r w:rsidR="001E4378">
        <w:t>48</w:t>
      </w:r>
      <w:r>
        <w:t>:</w:t>
      </w:r>
    </w:p>
    <w:p w14:paraId="617298D0" w14:textId="1838FDFD" w:rsidR="00AA0A8A" w:rsidRDefault="00D2087A" w:rsidP="00AA0A8A">
      <w:pPr>
        <w:pStyle w:val="ListParagraph"/>
        <w:numPr>
          <w:ilvl w:val="0"/>
          <w:numId w:val="15"/>
        </w:numPr>
      </w:pPr>
      <w:r>
        <w:t>Level E Name in notification emails</w:t>
      </w:r>
    </w:p>
    <w:p w14:paraId="236EEEC4" w14:textId="5D74A1A9" w:rsidR="000E00A6" w:rsidRDefault="000E00A6" w:rsidP="00AA0A8A">
      <w:pPr>
        <w:pStyle w:val="ListParagraph"/>
        <w:numPr>
          <w:ilvl w:val="0"/>
          <w:numId w:val="15"/>
        </w:numPr>
      </w:pPr>
      <w:r>
        <w:t>Planned Date in PLI Search Results</w:t>
      </w:r>
    </w:p>
    <w:p w14:paraId="61891A45" w14:textId="5E6AA68F" w:rsidR="000E00A6" w:rsidRDefault="000E00A6" w:rsidP="00AA0A8A">
      <w:pPr>
        <w:pStyle w:val="ListParagraph"/>
        <w:numPr>
          <w:ilvl w:val="0"/>
          <w:numId w:val="15"/>
        </w:numPr>
      </w:pPr>
      <w:r>
        <w:t>Created Date in Detailed Reports</w:t>
      </w:r>
    </w:p>
    <w:p w14:paraId="06BD216E" w14:textId="3C84B7CE" w:rsidR="006A0530" w:rsidRDefault="006A0530" w:rsidP="00AA0A8A">
      <w:pPr>
        <w:pStyle w:val="ListParagraph"/>
        <w:numPr>
          <w:ilvl w:val="0"/>
          <w:numId w:val="15"/>
        </w:numPr>
      </w:pPr>
      <w:r>
        <w:t xml:space="preserve">Increased length </w:t>
      </w:r>
      <w:r w:rsidR="00E25E32">
        <w:t>for</w:t>
      </w:r>
      <w:r>
        <w:t xml:space="preserve"> System Group Name</w:t>
      </w:r>
    </w:p>
    <w:p w14:paraId="3B1DB03A" w14:textId="4A8C3D57" w:rsidR="00ED6457" w:rsidRDefault="000C4694" w:rsidP="00ED6457">
      <w:pPr>
        <w:pStyle w:val="ListParagraph"/>
        <w:numPr>
          <w:ilvl w:val="0"/>
          <w:numId w:val="15"/>
        </w:numPr>
      </w:pPr>
      <w:r>
        <w:t>Generate full MOC documentation</w:t>
      </w:r>
      <w:r w:rsidR="00624456">
        <w:t xml:space="preserve"> </w:t>
      </w:r>
      <w:r w:rsidR="002841A5">
        <w:t>including</w:t>
      </w:r>
      <w:r w:rsidR="00624456">
        <w:t xml:space="preserve"> </w:t>
      </w:r>
      <w:proofErr w:type="gramStart"/>
      <w:r w:rsidR="00624456">
        <w:t>Attachments</w:t>
      </w:r>
      <w:proofErr w:type="gramEnd"/>
    </w:p>
    <w:p w14:paraId="7FF19E4B" w14:textId="011A14D7" w:rsidR="007D653D" w:rsidRDefault="00ED6457" w:rsidP="00ED6457">
      <w:pPr>
        <w:pStyle w:val="ListParagraph"/>
        <w:numPr>
          <w:ilvl w:val="0"/>
          <w:numId w:val="15"/>
        </w:numPr>
      </w:pPr>
      <w:r>
        <w:t xml:space="preserve">Generate full PLI documentation including </w:t>
      </w:r>
      <w:proofErr w:type="gramStart"/>
      <w:r>
        <w:t>Attachments</w:t>
      </w:r>
      <w:proofErr w:type="gramEnd"/>
    </w:p>
    <w:p w14:paraId="371BE75E" w14:textId="609E349A" w:rsidR="007D653D" w:rsidRDefault="00B07001" w:rsidP="00AA0A8A">
      <w:pPr>
        <w:pStyle w:val="ListParagraph"/>
        <w:numPr>
          <w:ilvl w:val="0"/>
          <w:numId w:val="15"/>
        </w:numPr>
      </w:pPr>
      <w:r>
        <w:t>Re</w:t>
      </w:r>
      <w:r w:rsidR="005237AC">
        <w:t xml:space="preserve">moving Sign Offs </w:t>
      </w:r>
      <w:r>
        <w:t>on DOTX</w:t>
      </w:r>
      <w:r w:rsidR="0098681B">
        <w:t xml:space="preserve"> based </w:t>
      </w:r>
      <w:proofErr w:type="gramStart"/>
      <w:r w:rsidR="0098681B">
        <w:t>ITRs</w:t>
      </w:r>
      <w:proofErr w:type="gramEnd"/>
    </w:p>
    <w:p w14:paraId="134C9D09" w14:textId="3054D023" w:rsidR="004D4BEB" w:rsidRDefault="004D4BEB" w:rsidP="00AA0A8A">
      <w:pPr>
        <w:pStyle w:val="ListParagraph"/>
        <w:numPr>
          <w:ilvl w:val="0"/>
          <w:numId w:val="15"/>
        </w:numPr>
      </w:pPr>
      <w:r>
        <w:t>New Partial Handover Report</w:t>
      </w:r>
    </w:p>
    <w:p w14:paraId="65962479" w14:textId="7FEBC155" w:rsidR="004D4BEB" w:rsidRDefault="00073AA6" w:rsidP="00AA0A8A">
      <w:pPr>
        <w:pStyle w:val="ListParagraph"/>
        <w:numPr>
          <w:ilvl w:val="0"/>
          <w:numId w:val="15"/>
        </w:numPr>
      </w:pPr>
      <w:r>
        <w:t>P</w:t>
      </w:r>
      <w:r w:rsidR="004D4BEB">
        <w:t>artial Handovers in Handover Dossiers</w:t>
      </w:r>
    </w:p>
    <w:p w14:paraId="6DBD4EEA" w14:textId="1264DFB4" w:rsidR="009579A5" w:rsidRDefault="00B15ECB" w:rsidP="00AA0A8A">
      <w:pPr>
        <w:pStyle w:val="ListParagraph"/>
        <w:numPr>
          <w:ilvl w:val="0"/>
          <w:numId w:val="15"/>
        </w:numPr>
      </w:pPr>
      <w:r>
        <w:t xml:space="preserve">Sign off </w:t>
      </w:r>
      <w:proofErr w:type="gramStart"/>
      <w:r>
        <w:t>Operations</w:t>
      </w:r>
      <w:proofErr w:type="gramEnd"/>
    </w:p>
    <w:p w14:paraId="53926558" w14:textId="5F97B3C5" w:rsidR="00027606" w:rsidRDefault="0021406B" w:rsidP="00ED6457">
      <w:pPr>
        <w:pStyle w:val="ListParagraph"/>
        <w:numPr>
          <w:ilvl w:val="0"/>
          <w:numId w:val="15"/>
        </w:numPr>
      </w:pPr>
      <w:r>
        <w:t xml:space="preserve">Checkboxes in </w:t>
      </w:r>
      <w:r w:rsidR="00737460">
        <w:t>tables</w:t>
      </w:r>
    </w:p>
    <w:p w14:paraId="59D884AD" w14:textId="371F3068" w:rsidR="008C0533" w:rsidRDefault="008C0533" w:rsidP="00ED6457">
      <w:pPr>
        <w:pStyle w:val="ListParagraph"/>
        <w:numPr>
          <w:ilvl w:val="0"/>
          <w:numId w:val="15"/>
        </w:numPr>
      </w:pPr>
      <w:r>
        <w:t>Session expiry notification</w:t>
      </w:r>
    </w:p>
    <w:p w14:paraId="6D34563D" w14:textId="29570DE8" w:rsidR="00F64A7E" w:rsidRDefault="0031289C" w:rsidP="00F64A7E">
      <w:pPr>
        <w:pStyle w:val="ListParagraph"/>
        <w:numPr>
          <w:ilvl w:val="0"/>
          <w:numId w:val="15"/>
        </w:numPr>
      </w:pPr>
      <w:r>
        <w:t xml:space="preserve">Search Processes by </w:t>
      </w:r>
      <w:r w:rsidR="009B3B27">
        <w:t>the ‘</w:t>
      </w:r>
      <w:r>
        <w:t>Assigned To</w:t>
      </w:r>
      <w:r w:rsidR="009B3B27">
        <w:t>’</w:t>
      </w:r>
      <w:r>
        <w:t xml:space="preserve"> </w:t>
      </w:r>
      <w:proofErr w:type="gramStart"/>
      <w:r>
        <w:t>field</w:t>
      </w:r>
      <w:proofErr w:type="gramEnd"/>
    </w:p>
    <w:p w14:paraId="454FDC08" w14:textId="0BBD3901" w:rsidR="00C07615" w:rsidRDefault="00F64A7E" w:rsidP="00276AD6">
      <w:pPr>
        <w:pStyle w:val="ListParagraph"/>
        <w:numPr>
          <w:ilvl w:val="0"/>
          <w:numId w:val="15"/>
        </w:numPr>
      </w:pPr>
      <w:r>
        <w:t>Process Builder</w:t>
      </w:r>
      <w:r w:rsidR="00C07615">
        <w:t xml:space="preserve"> – new </w:t>
      </w:r>
      <w:r w:rsidR="00276AD6">
        <w:t>Detailed R</w:t>
      </w:r>
      <w:r w:rsidR="00C07615">
        <w:t>eport</w:t>
      </w:r>
      <w:r w:rsidR="00276AD6">
        <w:t>s</w:t>
      </w:r>
    </w:p>
    <w:p w14:paraId="250FA208" w14:textId="754085EB" w:rsidR="00F64A7E" w:rsidRDefault="00F64A7E" w:rsidP="00AA0A8A">
      <w:pPr>
        <w:pStyle w:val="ListParagraph"/>
        <w:numPr>
          <w:ilvl w:val="0"/>
          <w:numId w:val="15"/>
        </w:numPr>
      </w:pPr>
      <w:r>
        <w:t>API – additional fields on Handover endpoints</w:t>
      </w:r>
    </w:p>
    <w:p w14:paraId="08B11A13" w14:textId="77777777" w:rsidR="00AA0A8A" w:rsidRDefault="00AA0A8A" w:rsidP="00AA0A8A">
      <w:pPr>
        <w:pStyle w:val="Woodsubhead1-bulletednumberteal"/>
      </w:pPr>
      <w:r>
        <w:t>Companion App Features</w:t>
      </w:r>
    </w:p>
    <w:p w14:paraId="0576757D" w14:textId="0F599B2D" w:rsidR="00AA0A8A" w:rsidRDefault="00AA0A8A" w:rsidP="00AA0A8A">
      <w:r>
        <w:t>Version 1.</w:t>
      </w:r>
      <w:r w:rsidR="001E4378">
        <w:t>15</w:t>
      </w:r>
      <w:r>
        <w:t xml:space="preserve"> of our </w:t>
      </w:r>
      <w:proofErr w:type="spellStart"/>
      <w:r>
        <w:t>GoTechnology</w:t>
      </w:r>
      <w:proofErr w:type="spellEnd"/>
      <w:r>
        <w:t xml:space="preserve"> hub2 Companion Application has also been released alongside </w:t>
      </w:r>
      <w:proofErr w:type="spellStart"/>
      <w:r>
        <w:t>GoTechnology</w:t>
      </w:r>
      <w:proofErr w:type="spellEnd"/>
      <w:r>
        <w:t xml:space="preserve"> hub2 v1.</w:t>
      </w:r>
      <w:r w:rsidR="00F64A3B">
        <w:t>48</w:t>
      </w:r>
      <w:r>
        <w:t>.  The following new functionality has been added to the App.</w:t>
      </w:r>
    </w:p>
    <w:p w14:paraId="0D037C12" w14:textId="475E8F2B" w:rsidR="00AB7854" w:rsidRDefault="00AB7854" w:rsidP="00AA0A8A">
      <w:pPr>
        <w:pStyle w:val="ListParagraph"/>
        <w:numPr>
          <w:ilvl w:val="0"/>
          <w:numId w:val="18"/>
        </w:numPr>
      </w:pPr>
      <w:r>
        <w:t xml:space="preserve">New </w:t>
      </w:r>
      <w:r w:rsidR="00DB0088">
        <w:t>navigation and styling improvements</w:t>
      </w:r>
    </w:p>
    <w:p w14:paraId="566A9E4E" w14:textId="11A735C6" w:rsidR="00AA0A8A" w:rsidRDefault="00611FA4" w:rsidP="00AA0A8A">
      <w:pPr>
        <w:pStyle w:val="ListParagraph"/>
        <w:numPr>
          <w:ilvl w:val="0"/>
          <w:numId w:val="18"/>
        </w:numPr>
      </w:pPr>
      <w:r>
        <w:t>Work Packs</w:t>
      </w:r>
    </w:p>
    <w:p w14:paraId="30CC0B42" w14:textId="56C6958A" w:rsidR="00513987" w:rsidRDefault="0064036E" w:rsidP="00513987">
      <w:pPr>
        <w:pStyle w:val="ListParagraph"/>
        <w:numPr>
          <w:ilvl w:val="0"/>
          <w:numId w:val="18"/>
        </w:numPr>
      </w:pPr>
      <w:r w:rsidRPr="00A46CDD">
        <w:t xml:space="preserve">Job </w:t>
      </w:r>
      <w:r>
        <w:t>Cards</w:t>
      </w:r>
    </w:p>
    <w:p w14:paraId="350B45E9" w14:textId="1B63BA35" w:rsidR="00CC4369" w:rsidRDefault="00B60C9F" w:rsidP="00513987">
      <w:pPr>
        <w:pStyle w:val="ListParagraph"/>
        <w:numPr>
          <w:ilvl w:val="0"/>
          <w:numId w:val="18"/>
        </w:numPr>
      </w:pPr>
      <w:r>
        <w:t xml:space="preserve">Filtered </w:t>
      </w:r>
      <w:r w:rsidR="009C2311">
        <w:t>L</w:t>
      </w:r>
      <w:r>
        <w:t>ists</w:t>
      </w:r>
      <w:r w:rsidR="009C2311">
        <w:t xml:space="preserve"> and Offline Lists</w:t>
      </w:r>
    </w:p>
    <w:p w14:paraId="3085521D" w14:textId="77777777" w:rsidR="00AA0A8A" w:rsidRDefault="00AA0A8A" w:rsidP="00AA0A8A">
      <w:r>
        <w:t xml:space="preserve">The application can be downloaded from the App Store or the Google Play Store at the following </w:t>
      </w:r>
      <w:proofErr w:type="gramStart"/>
      <w:r>
        <w:t>links</w:t>
      </w:r>
      <w:proofErr w:type="gramEnd"/>
    </w:p>
    <w:p w14:paraId="05ABE0F4" w14:textId="77777777" w:rsidR="00AA0A8A" w:rsidRDefault="00AA0A8A" w:rsidP="00AA0A8A">
      <w:pPr>
        <w:pStyle w:val="ListParagraph"/>
        <w:numPr>
          <w:ilvl w:val="0"/>
          <w:numId w:val="17"/>
        </w:numPr>
        <w:spacing w:after="200" w:line="276" w:lineRule="auto"/>
      </w:pPr>
      <w:r>
        <w:t xml:space="preserve">Apple: </w:t>
      </w:r>
      <w:hyperlink r:id="rId11" w:history="1">
        <w:r>
          <w:rPr>
            <w:rStyle w:val="Hyperlink"/>
          </w:rPr>
          <w:t>https://apps.apple.com/us/app/gotechnology-companion-app/id1485718605</w:t>
        </w:r>
      </w:hyperlink>
    </w:p>
    <w:p w14:paraId="2DE1AFE2" w14:textId="77777777" w:rsidR="00AA0A8A" w:rsidRDefault="00AA0A8A" w:rsidP="00AA0A8A">
      <w:pPr>
        <w:pStyle w:val="ListParagraph"/>
        <w:numPr>
          <w:ilvl w:val="0"/>
          <w:numId w:val="17"/>
        </w:numPr>
        <w:spacing w:after="200" w:line="276" w:lineRule="auto"/>
      </w:pPr>
      <w:r>
        <w:t xml:space="preserve">Google: </w:t>
      </w:r>
      <w:hyperlink r:id="rId12" w:history="1">
        <w:r>
          <w:rPr>
            <w:rStyle w:val="Hyperlink"/>
          </w:rPr>
          <w:t>https://play.google.com/store/apps/details?id=com.wcs.hub2DigitalDocuments&amp;hl=en_GB</w:t>
        </w:r>
      </w:hyperlink>
    </w:p>
    <w:p w14:paraId="671E1C93" w14:textId="6F7DF96D" w:rsidR="00933F8A" w:rsidRDefault="00A5157F" w:rsidP="001670BF">
      <w:pPr>
        <w:pStyle w:val="Woodsubhead1-bulletednumberteal"/>
      </w:pPr>
      <w:r>
        <w:lastRenderedPageBreak/>
        <w:br w:type="page"/>
      </w:r>
      <w:r w:rsidR="001823B9" w:rsidRPr="00D042C6">
        <w:lastRenderedPageBreak/>
        <w:t xml:space="preserve">Level E Name in </w:t>
      </w:r>
      <w:r w:rsidR="00C1440A" w:rsidRPr="00D042C6">
        <w:t>N</w:t>
      </w:r>
      <w:r w:rsidR="001823B9" w:rsidRPr="00D042C6">
        <w:t xml:space="preserve">otification </w:t>
      </w:r>
      <w:r w:rsidR="00C1440A" w:rsidRPr="00D042C6">
        <w:t>E</w:t>
      </w:r>
      <w:r w:rsidR="001823B9" w:rsidRPr="00D042C6">
        <w:t>mails</w:t>
      </w:r>
    </w:p>
    <w:p w14:paraId="12432470" w14:textId="77777777" w:rsidR="00AA0A8A" w:rsidRDefault="00AA0A8A" w:rsidP="00AA0A8A">
      <w:pPr>
        <w:jc w:val="center"/>
        <w:rPr>
          <w:b/>
        </w:rPr>
      </w:pPr>
      <w:r w:rsidRPr="008035A4">
        <w:rPr>
          <w:b/>
          <w:noProof/>
        </w:rPr>
        <w:drawing>
          <wp:inline distT="0" distB="0" distL="0" distR="0" wp14:anchorId="2191A346" wp14:editId="47CBE92C">
            <wp:extent cx="3750203" cy="2581871"/>
            <wp:effectExtent l="19050" t="19050" r="2222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750203" cy="2581871"/>
                    </a:xfrm>
                    <a:prstGeom prst="rect">
                      <a:avLst/>
                    </a:prstGeom>
                    <a:ln>
                      <a:solidFill>
                        <a:schemeClr val="accent1"/>
                      </a:solidFill>
                    </a:ln>
                  </pic:spPr>
                </pic:pic>
              </a:graphicData>
            </a:graphic>
          </wp:inline>
        </w:drawing>
      </w:r>
    </w:p>
    <w:p w14:paraId="34D9AAB0" w14:textId="71F6F2DB" w:rsidR="00AA0A8A" w:rsidRDefault="00AA191B" w:rsidP="00AA0A8A">
      <w:pPr>
        <w:pStyle w:val="Figure"/>
      </w:pPr>
      <w:r>
        <w:t xml:space="preserve">A Work Pack Approvals notification showing the Level E </w:t>
      </w:r>
      <w:proofErr w:type="gramStart"/>
      <w:r>
        <w:t>name</w:t>
      </w:r>
      <w:proofErr w:type="gramEnd"/>
    </w:p>
    <w:p w14:paraId="1D75FF27" w14:textId="14EFB7E7" w:rsidR="00AA0A8A" w:rsidRDefault="00D827F9" w:rsidP="00AA0A8A">
      <w:r>
        <w:t>The email</w:t>
      </w:r>
      <w:r w:rsidR="00A06A2B">
        <w:t xml:space="preserve"> notifications sent in the following scenarios</w:t>
      </w:r>
      <w:r>
        <w:t xml:space="preserve"> now include the name of the Level E </w:t>
      </w:r>
      <w:r w:rsidR="00A06A2B">
        <w:t>for clarity</w:t>
      </w:r>
      <w:r w:rsidR="003E1619">
        <w:t>:</w:t>
      </w:r>
    </w:p>
    <w:p w14:paraId="5420038B" w14:textId="060EC38D" w:rsidR="003E1619" w:rsidRDefault="003E1619" w:rsidP="003E1619">
      <w:pPr>
        <w:pStyle w:val="ListParagraph"/>
        <w:numPr>
          <w:ilvl w:val="0"/>
          <w:numId w:val="21"/>
        </w:numPr>
      </w:pPr>
      <w:r>
        <w:t>Status of a Tag ITR has changed.</w:t>
      </w:r>
    </w:p>
    <w:p w14:paraId="76F0742F" w14:textId="77777777" w:rsidR="00425E66" w:rsidRDefault="003E1619" w:rsidP="003E1619">
      <w:pPr>
        <w:pStyle w:val="ListParagraph"/>
        <w:numPr>
          <w:ilvl w:val="0"/>
          <w:numId w:val="21"/>
        </w:numPr>
      </w:pPr>
      <w:r>
        <w:t>MOC raised</w:t>
      </w:r>
      <w:r w:rsidR="00425E66">
        <w:t>.</w:t>
      </w:r>
    </w:p>
    <w:p w14:paraId="7F70B356" w14:textId="129BADD8" w:rsidR="003E1619" w:rsidRDefault="00425E66" w:rsidP="003E1619">
      <w:pPr>
        <w:pStyle w:val="ListParagraph"/>
        <w:numPr>
          <w:ilvl w:val="0"/>
          <w:numId w:val="21"/>
        </w:numPr>
      </w:pPr>
      <w:r>
        <w:t xml:space="preserve">MOC </w:t>
      </w:r>
      <w:r w:rsidR="003E1619">
        <w:t>signed off.</w:t>
      </w:r>
    </w:p>
    <w:p w14:paraId="4F70FE18" w14:textId="0964B8EF" w:rsidR="003E1619" w:rsidRDefault="00317A7E" w:rsidP="003E1619">
      <w:pPr>
        <w:pStyle w:val="ListParagraph"/>
        <w:numPr>
          <w:ilvl w:val="0"/>
          <w:numId w:val="21"/>
        </w:numPr>
      </w:pPr>
      <w:r>
        <w:t xml:space="preserve">Approved by field on a </w:t>
      </w:r>
      <w:r w:rsidR="003E1619">
        <w:t xml:space="preserve">Work Pack </w:t>
      </w:r>
      <w:r>
        <w:t>Approval has changed.</w:t>
      </w:r>
    </w:p>
    <w:p w14:paraId="52CA2D25" w14:textId="2B5504A5" w:rsidR="00AA0A8A" w:rsidRDefault="00317A7E" w:rsidP="00AA0A8A">
      <w:pPr>
        <w:pStyle w:val="ListParagraph"/>
        <w:numPr>
          <w:ilvl w:val="0"/>
          <w:numId w:val="21"/>
        </w:numPr>
      </w:pPr>
      <w:r>
        <w:t>Work Pack Approval Round is ready for approval.</w:t>
      </w:r>
    </w:p>
    <w:p w14:paraId="3132C433" w14:textId="5DA9FCEB" w:rsidR="00AA0A8A" w:rsidRDefault="001823B9" w:rsidP="00AA0A8A">
      <w:pPr>
        <w:pStyle w:val="Woodsubhead1-bulletednumberteal"/>
      </w:pPr>
      <w:r w:rsidRPr="001823B9">
        <w:t>Planned Date in PLI Search Results</w:t>
      </w:r>
    </w:p>
    <w:p w14:paraId="5499C8C4" w14:textId="77777777" w:rsidR="00AA0A8A" w:rsidRDefault="00AA0A8A" w:rsidP="00AA0A8A">
      <w:pPr>
        <w:jc w:val="center"/>
        <w:rPr>
          <w:b/>
        </w:rPr>
      </w:pPr>
      <w:r w:rsidRPr="008035A4">
        <w:rPr>
          <w:b/>
          <w:noProof/>
        </w:rPr>
        <w:drawing>
          <wp:inline distT="0" distB="0" distL="0" distR="0" wp14:anchorId="61AB3E1B" wp14:editId="250ED924">
            <wp:extent cx="5497562" cy="1870014"/>
            <wp:effectExtent l="19050" t="19050" r="825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497562" cy="1870014"/>
                    </a:xfrm>
                    <a:prstGeom prst="rect">
                      <a:avLst/>
                    </a:prstGeom>
                    <a:ln>
                      <a:solidFill>
                        <a:schemeClr val="accent1"/>
                      </a:solidFill>
                    </a:ln>
                  </pic:spPr>
                </pic:pic>
              </a:graphicData>
            </a:graphic>
          </wp:inline>
        </w:drawing>
      </w:r>
    </w:p>
    <w:p w14:paraId="2AB7F307" w14:textId="17818371" w:rsidR="00AA0A8A" w:rsidRDefault="00FD7FBF" w:rsidP="00AA0A8A">
      <w:pPr>
        <w:pStyle w:val="Figure"/>
      </w:pPr>
      <w:r>
        <w:t xml:space="preserve">The Punch List Item Search page showing the Planned Date </w:t>
      </w:r>
      <w:proofErr w:type="gramStart"/>
      <w:r>
        <w:t>column</w:t>
      </w:r>
      <w:proofErr w:type="gramEnd"/>
    </w:p>
    <w:p w14:paraId="6DF315A1" w14:textId="641AE4CB" w:rsidR="00AA0A8A" w:rsidRDefault="001D59BC" w:rsidP="00AA0A8A">
      <w:r>
        <w:t xml:space="preserve">The </w:t>
      </w:r>
      <w:r w:rsidR="00FD7FBF">
        <w:t>list of results on the Punch List Item Search page now includes a column showing the Planned Date for each item.</w:t>
      </w:r>
    </w:p>
    <w:p w14:paraId="3983FDBD" w14:textId="599FECE5" w:rsidR="002670CA" w:rsidRDefault="00970C4A" w:rsidP="002670CA">
      <w:pPr>
        <w:pStyle w:val="Woodsubhead1-bulletednumberteal"/>
      </w:pPr>
      <w:r w:rsidRPr="00970C4A">
        <w:t>Created Date in Detailed Reports</w:t>
      </w:r>
    </w:p>
    <w:p w14:paraId="71AEB0B0" w14:textId="77777777" w:rsidR="002670CA" w:rsidRDefault="002670CA" w:rsidP="002670CA">
      <w:pPr>
        <w:jc w:val="center"/>
        <w:rPr>
          <w:b/>
        </w:rPr>
      </w:pPr>
      <w:r w:rsidRPr="008035A4">
        <w:rPr>
          <w:b/>
          <w:noProof/>
        </w:rPr>
        <w:lastRenderedPageBreak/>
        <w:drawing>
          <wp:inline distT="0" distB="0" distL="0" distR="0" wp14:anchorId="32CC9086" wp14:editId="73A84420">
            <wp:extent cx="5389664" cy="1232183"/>
            <wp:effectExtent l="19050" t="19050" r="2095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389664" cy="1232183"/>
                    </a:xfrm>
                    <a:prstGeom prst="rect">
                      <a:avLst/>
                    </a:prstGeom>
                    <a:ln>
                      <a:solidFill>
                        <a:schemeClr val="accent1"/>
                      </a:solidFill>
                    </a:ln>
                  </pic:spPr>
                </pic:pic>
              </a:graphicData>
            </a:graphic>
          </wp:inline>
        </w:drawing>
      </w:r>
    </w:p>
    <w:p w14:paraId="55BD4B7E" w14:textId="411322AE" w:rsidR="002670CA" w:rsidRDefault="002670CA" w:rsidP="002670CA">
      <w:pPr>
        <w:pStyle w:val="Figure"/>
      </w:pPr>
      <w:r>
        <w:t>S</w:t>
      </w:r>
      <w:r w:rsidR="008D1EDA">
        <w:t>electing the Tag ITR Created Date</w:t>
      </w:r>
      <w:r w:rsidR="00B85FF4">
        <w:t xml:space="preserve"> when creating a Tag ITR Detailed Report</w:t>
      </w:r>
      <w:r>
        <w:t xml:space="preserve"> </w:t>
      </w:r>
    </w:p>
    <w:p w14:paraId="38853558" w14:textId="4F807484" w:rsidR="00EA3A44" w:rsidRDefault="00B947D7" w:rsidP="002670CA">
      <w:r>
        <w:t xml:space="preserve">The Created Date of Tag ITRs can now be included in Tag ITR Detailed Reports. </w:t>
      </w:r>
    </w:p>
    <w:p w14:paraId="5B75824D" w14:textId="0603543E" w:rsidR="0032675C" w:rsidRDefault="0032675C" w:rsidP="0032675C">
      <w:r>
        <w:t>To include the Created Date in a Tag ITR Detailed Report, go to Reports -&gt; Create New Detailed Report -&gt; select Tag ITR under Type -&gt; under ‘Select Columns’ click on ‘Tag ITR Created Date’.</w:t>
      </w:r>
    </w:p>
    <w:p w14:paraId="34CE6B25" w14:textId="77777777" w:rsidR="003E322D" w:rsidRDefault="003E322D" w:rsidP="003E322D">
      <w:pPr>
        <w:jc w:val="center"/>
        <w:rPr>
          <w:b/>
        </w:rPr>
      </w:pPr>
      <w:r w:rsidRPr="008035A4">
        <w:rPr>
          <w:b/>
          <w:noProof/>
        </w:rPr>
        <w:drawing>
          <wp:inline distT="0" distB="0" distL="0" distR="0" wp14:anchorId="58A7D46D" wp14:editId="37DF0042">
            <wp:extent cx="5414254" cy="1396282"/>
            <wp:effectExtent l="19050" t="19050" r="1524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5435000" cy="1401632"/>
                    </a:xfrm>
                    <a:prstGeom prst="rect">
                      <a:avLst/>
                    </a:prstGeom>
                    <a:ln>
                      <a:solidFill>
                        <a:schemeClr val="accent1"/>
                      </a:solidFill>
                    </a:ln>
                  </pic:spPr>
                </pic:pic>
              </a:graphicData>
            </a:graphic>
          </wp:inline>
        </w:drawing>
      </w:r>
    </w:p>
    <w:p w14:paraId="6B3B4290" w14:textId="0F30DBBB" w:rsidR="0032675C" w:rsidRDefault="00172A07" w:rsidP="002670CA">
      <w:pPr>
        <w:pStyle w:val="Figure"/>
      </w:pPr>
      <w:r>
        <w:t xml:space="preserve">A Tag ITR Detailed Report showing the Tag ITR Created Date </w:t>
      </w:r>
      <w:proofErr w:type="gramStart"/>
      <w:r>
        <w:t>column</w:t>
      </w:r>
      <w:proofErr w:type="gramEnd"/>
      <w:r w:rsidR="003E322D">
        <w:t xml:space="preserve"> </w:t>
      </w:r>
    </w:p>
    <w:p w14:paraId="357447CA" w14:textId="634AC633" w:rsidR="002670CA" w:rsidRDefault="00BA31E4" w:rsidP="002670CA">
      <w:r>
        <w:t xml:space="preserve">The </w:t>
      </w:r>
      <w:r w:rsidR="00660A22">
        <w:t xml:space="preserve">Tag </w:t>
      </w:r>
      <w:r>
        <w:t xml:space="preserve">Created Date </w:t>
      </w:r>
      <w:r w:rsidR="00660A22">
        <w:t>can also now be in</w:t>
      </w:r>
      <w:r>
        <w:t>clude</w:t>
      </w:r>
      <w:r w:rsidR="00660A22">
        <w:t>d</w:t>
      </w:r>
      <w:r>
        <w:t xml:space="preserve"> in Tag Detailed Reports</w:t>
      </w:r>
      <w:r w:rsidR="003A226A">
        <w:t>.</w:t>
      </w:r>
    </w:p>
    <w:p w14:paraId="48F2E99F" w14:textId="0E0CEB2D" w:rsidR="002670CA" w:rsidRDefault="00970C4A" w:rsidP="002670CA">
      <w:pPr>
        <w:pStyle w:val="Woodsubhead1-bulletednumberteal"/>
      </w:pPr>
      <w:r w:rsidRPr="00970C4A">
        <w:t xml:space="preserve">Increased </w:t>
      </w:r>
      <w:r w:rsidR="00192D45">
        <w:t>L</w:t>
      </w:r>
      <w:r w:rsidRPr="00970C4A">
        <w:t xml:space="preserve">ength </w:t>
      </w:r>
      <w:r w:rsidR="00E25E32">
        <w:t>for</w:t>
      </w:r>
      <w:r w:rsidRPr="00970C4A">
        <w:t xml:space="preserve"> System Group Name</w:t>
      </w:r>
    </w:p>
    <w:p w14:paraId="4D51DD47" w14:textId="791339F3" w:rsidR="002670CA" w:rsidRDefault="002476A3" w:rsidP="00AA0A8A">
      <w:r>
        <w:t xml:space="preserve">The Name field on System Group has been increased from </w:t>
      </w:r>
      <w:r w:rsidR="00732104">
        <w:t>50 characters to 75 characters, allowing much longer names to now be used.</w:t>
      </w:r>
    </w:p>
    <w:p w14:paraId="1CBA8C76" w14:textId="50B0B7E0" w:rsidR="002670CA" w:rsidRDefault="007B3ADE" w:rsidP="002670CA">
      <w:pPr>
        <w:pStyle w:val="Woodsubhead1-bulletednumberteal"/>
      </w:pPr>
      <w:r w:rsidRPr="007B3ADE">
        <w:t xml:space="preserve">Generate </w:t>
      </w:r>
      <w:r w:rsidR="003B1861">
        <w:t>F</w:t>
      </w:r>
      <w:r w:rsidRPr="007B3ADE">
        <w:t xml:space="preserve">ull MOC </w:t>
      </w:r>
      <w:r w:rsidR="003B1861">
        <w:t>D</w:t>
      </w:r>
      <w:r w:rsidRPr="007B3ADE">
        <w:t>ocumentation</w:t>
      </w:r>
      <w:r w:rsidR="003B72C5">
        <w:t xml:space="preserve"> </w:t>
      </w:r>
      <w:r w:rsidR="002841A5">
        <w:t>including</w:t>
      </w:r>
      <w:r w:rsidR="003B72C5">
        <w:t xml:space="preserve"> </w:t>
      </w:r>
      <w:proofErr w:type="gramStart"/>
      <w:r w:rsidR="003B72C5">
        <w:t>Attachments</w:t>
      </w:r>
      <w:proofErr w:type="gramEnd"/>
    </w:p>
    <w:p w14:paraId="361E69A3" w14:textId="77777777" w:rsidR="002670CA" w:rsidRDefault="002670CA" w:rsidP="002670CA">
      <w:pPr>
        <w:jc w:val="center"/>
        <w:rPr>
          <w:b/>
        </w:rPr>
      </w:pPr>
      <w:r w:rsidRPr="008035A4">
        <w:rPr>
          <w:b/>
          <w:noProof/>
        </w:rPr>
        <w:drawing>
          <wp:inline distT="0" distB="0" distL="0" distR="0" wp14:anchorId="6217BD17" wp14:editId="1935C623">
            <wp:extent cx="5389664" cy="2328079"/>
            <wp:effectExtent l="19050" t="19050" r="2095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389664" cy="2328079"/>
                    </a:xfrm>
                    <a:prstGeom prst="rect">
                      <a:avLst/>
                    </a:prstGeom>
                    <a:ln>
                      <a:solidFill>
                        <a:schemeClr val="accent1"/>
                      </a:solidFill>
                    </a:ln>
                  </pic:spPr>
                </pic:pic>
              </a:graphicData>
            </a:graphic>
          </wp:inline>
        </w:drawing>
      </w:r>
    </w:p>
    <w:p w14:paraId="47C76E9A" w14:textId="3F6B6A0F" w:rsidR="002670CA" w:rsidRDefault="003B1861" w:rsidP="002670CA">
      <w:pPr>
        <w:pStyle w:val="Figure"/>
      </w:pPr>
      <w:r>
        <w:t xml:space="preserve">The new ‘Generate PDF With Attachment’ button on the View MOC </w:t>
      </w:r>
      <w:proofErr w:type="gramStart"/>
      <w:r>
        <w:t>page</w:t>
      </w:r>
      <w:proofErr w:type="gramEnd"/>
      <w:r w:rsidR="002670CA">
        <w:t xml:space="preserve"> </w:t>
      </w:r>
    </w:p>
    <w:p w14:paraId="690D3AB8" w14:textId="77777777" w:rsidR="00625C23" w:rsidRDefault="0059054B" w:rsidP="002670CA">
      <w:r>
        <w:t xml:space="preserve">There are now options to generate </w:t>
      </w:r>
      <w:r w:rsidR="00625C23">
        <w:t>MOC digital documents and their associated attachments in a single PDF file.</w:t>
      </w:r>
    </w:p>
    <w:p w14:paraId="32EB50C5" w14:textId="25A46FA9" w:rsidR="00C11F5C" w:rsidRDefault="00030A59" w:rsidP="002670CA">
      <w:r>
        <w:t>When viewing a</w:t>
      </w:r>
      <w:r w:rsidR="00C11F5C">
        <w:t xml:space="preserve">ny MOC that has Attachments </w:t>
      </w:r>
      <w:r>
        <w:t xml:space="preserve">there is </w:t>
      </w:r>
      <w:r w:rsidR="00C11F5C">
        <w:t xml:space="preserve">now </w:t>
      </w:r>
      <w:r>
        <w:t>a</w:t>
      </w:r>
      <w:r w:rsidR="00C11F5C">
        <w:t xml:space="preserve"> new panel called ‘MOC Full Documentation’.</w:t>
      </w:r>
      <w:r w:rsidR="00BD01E4">
        <w:t xml:space="preserve"> Clicking the ‘Generate PDF With Attachment’ button </w:t>
      </w:r>
      <w:r w:rsidR="005244BA">
        <w:t xml:space="preserve">in this panel, </w:t>
      </w:r>
      <w:r w:rsidR="00BD01E4">
        <w:t xml:space="preserve">will generate a </w:t>
      </w:r>
      <w:r w:rsidR="005244BA">
        <w:t xml:space="preserve">single </w:t>
      </w:r>
      <w:r w:rsidR="00BD01E4">
        <w:t xml:space="preserve">PDF file </w:t>
      </w:r>
      <w:r w:rsidR="005244BA">
        <w:t xml:space="preserve">that </w:t>
      </w:r>
      <w:r w:rsidR="00BD01E4">
        <w:t>contain the MOC Digital Document together with all the associated Attachment files.</w:t>
      </w:r>
    </w:p>
    <w:p w14:paraId="0F04D819" w14:textId="77777777" w:rsidR="000C4694" w:rsidRDefault="000C4694" w:rsidP="000C4694">
      <w:pPr>
        <w:jc w:val="center"/>
        <w:rPr>
          <w:b/>
        </w:rPr>
      </w:pPr>
      <w:r w:rsidRPr="008035A4">
        <w:rPr>
          <w:b/>
          <w:noProof/>
        </w:rPr>
        <w:lastRenderedPageBreak/>
        <w:drawing>
          <wp:inline distT="0" distB="0" distL="0" distR="0" wp14:anchorId="23BB15CB" wp14:editId="160EBF31">
            <wp:extent cx="3668983" cy="1194920"/>
            <wp:effectExtent l="19050" t="19050" r="273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3668983" cy="1194920"/>
                    </a:xfrm>
                    <a:prstGeom prst="rect">
                      <a:avLst/>
                    </a:prstGeom>
                    <a:ln>
                      <a:solidFill>
                        <a:schemeClr val="accent1"/>
                      </a:solidFill>
                    </a:ln>
                  </pic:spPr>
                </pic:pic>
              </a:graphicData>
            </a:graphic>
          </wp:inline>
        </w:drawing>
      </w:r>
    </w:p>
    <w:p w14:paraId="47E2E96F" w14:textId="0AB311A5" w:rsidR="000C4694" w:rsidRDefault="000C4694" w:rsidP="000C4694">
      <w:pPr>
        <w:pStyle w:val="Figure"/>
      </w:pPr>
      <w:r>
        <w:t>S</w:t>
      </w:r>
      <w:r w:rsidR="004B0BCA">
        <w:t xml:space="preserve">electing the Attachments to include in the </w:t>
      </w:r>
      <w:proofErr w:type="gramStart"/>
      <w:r w:rsidR="004B0BCA">
        <w:t>PDF</w:t>
      </w:r>
      <w:proofErr w:type="gramEnd"/>
      <w:r>
        <w:t xml:space="preserve"> </w:t>
      </w:r>
    </w:p>
    <w:p w14:paraId="6722238F" w14:textId="62BD397C" w:rsidR="000C4694" w:rsidRDefault="002841A5" w:rsidP="000C4694">
      <w:r>
        <w:t>T</w:t>
      </w:r>
      <w:r w:rsidR="00DE4476">
        <w:t>he f</w:t>
      </w:r>
      <w:r>
        <w:t xml:space="preserve">ull documentation </w:t>
      </w:r>
      <w:r w:rsidR="00DE4476">
        <w:t xml:space="preserve">can also be generated </w:t>
      </w:r>
      <w:r>
        <w:t>for more than one MOC at a time</w:t>
      </w:r>
      <w:r w:rsidR="00DE4476">
        <w:t xml:space="preserve">. To do this go to the MOC Search page, tick one or more MOCs in the search results, </w:t>
      </w:r>
      <w:r w:rsidR="00E918C0">
        <w:t>click the arrow on the right of the Generate button, click ‘With Attachments’.</w:t>
      </w:r>
    </w:p>
    <w:p w14:paraId="65CA5121" w14:textId="77777777" w:rsidR="00F73AC3" w:rsidRDefault="00F73AC3" w:rsidP="00F73AC3">
      <w:pPr>
        <w:jc w:val="center"/>
        <w:rPr>
          <w:b/>
        </w:rPr>
      </w:pPr>
      <w:r w:rsidRPr="008035A4">
        <w:rPr>
          <w:b/>
          <w:noProof/>
        </w:rPr>
        <w:drawing>
          <wp:inline distT="0" distB="0" distL="0" distR="0" wp14:anchorId="4E40A51E" wp14:editId="44A3BCC6">
            <wp:extent cx="5497562" cy="1176720"/>
            <wp:effectExtent l="19050" t="19050" r="2730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extLst>
                        <a:ext uri="{28A0092B-C50C-407E-A947-70E740481C1C}">
                          <a14:useLocalDpi xmlns:a14="http://schemas.microsoft.com/office/drawing/2010/main" val="0"/>
                        </a:ext>
                      </a:extLst>
                    </a:blip>
                    <a:stretch>
                      <a:fillRect/>
                    </a:stretch>
                  </pic:blipFill>
                  <pic:spPr>
                    <a:xfrm>
                      <a:off x="0" y="0"/>
                      <a:ext cx="5497562" cy="1176720"/>
                    </a:xfrm>
                    <a:prstGeom prst="rect">
                      <a:avLst/>
                    </a:prstGeom>
                    <a:ln>
                      <a:solidFill>
                        <a:schemeClr val="accent1"/>
                      </a:solidFill>
                    </a:ln>
                  </pic:spPr>
                </pic:pic>
              </a:graphicData>
            </a:graphic>
          </wp:inline>
        </w:drawing>
      </w:r>
    </w:p>
    <w:p w14:paraId="105346A8" w14:textId="0EA6EE83" w:rsidR="00F73AC3" w:rsidRDefault="0057034D" w:rsidP="000C4694">
      <w:pPr>
        <w:pStyle w:val="Figure"/>
      </w:pPr>
      <w:r>
        <w:t>Generating</w:t>
      </w:r>
      <w:r w:rsidR="000422AB">
        <w:t xml:space="preserve"> multiple MOCs at the same time from the MOC Search page</w:t>
      </w:r>
    </w:p>
    <w:p w14:paraId="3AF2CD95" w14:textId="5F266AC6" w:rsidR="00F73AC3" w:rsidRDefault="00F73AC3" w:rsidP="000C4694">
      <w:r>
        <w:t>When generating with this method, all the Attachments will be included.</w:t>
      </w:r>
    </w:p>
    <w:p w14:paraId="04B36412" w14:textId="1F7236DF" w:rsidR="00ED6457" w:rsidRDefault="00ED6457" w:rsidP="00ED6457">
      <w:pPr>
        <w:pStyle w:val="Woodsubhead1-bulletednumberteal"/>
      </w:pPr>
      <w:r w:rsidRPr="007B3ADE">
        <w:t xml:space="preserve">Generate </w:t>
      </w:r>
      <w:r>
        <w:t>F</w:t>
      </w:r>
      <w:r w:rsidRPr="007B3ADE">
        <w:t xml:space="preserve">ull </w:t>
      </w:r>
      <w:r>
        <w:t>PLI</w:t>
      </w:r>
      <w:r w:rsidRPr="007B3ADE">
        <w:t xml:space="preserve"> </w:t>
      </w:r>
      <w:r>
        <w:t>D</w:t>
      </w:r>
      <w:r w:rsidRPr="007B3ADE">
        <w:t>ocumentation</w:t>
      </w:r>
      <w:r>
        <w:t xml:space="preserve"> including </w:t>
      </w:r>
      <w:proofErr w:type="gramStart"/>
      <w:r>
        <w:t>Attachments</w:t>
      </w:r>
      <w:proofErr w:type="gramEnd"/>
    </w:p>
    <w:p w14:paraId="7112BB70" w14:textId="77777777" w:rsidR="00ED6457" w:rsidRDefault="00ED6457" w:rsidP="00ED6457">
      <w:pPr>
        <w:jc w:val="center"/>
        <w:rPr>
          <w:b/>
        </w:rPr>
      </w:pPr>
      <w:r w:rsidRPr="008035A4">
        <w:rPr>
          <w:b/>
          <w:noProof/>
        </w:rPr>
        <w:drawing>
          <wp:inline distT="0" distB="0" distL="0" distR="0" wp14:anchorId="61FA9360" wp14:editId="55A36F29">
            <wp:extent cx="5389664" cy="2315728"/>
            <wp:effectExtent l="19050" t="19050" r="2095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389664" cy="2315728"/>
                    </a:xfrm>
                    <a:prstGeom prst="rect">
                      <a:avLst/>
                    </a:prstGeom>
                    <a:ln>
                      <a:solidFill>
                        <a:schemeClr val="accent1"/>
                      </a:solidFill>
                    </a:ln>
                  </pic:spPr>
                </pic:pic>
              </a:graphicData>
            </a:graphic>
          </wp:inline>
        </w:drawing>
      </w:r>
    </w:p>
    <w:p w14:paraId="76AD9AAA" w14:textId="18A4B751" w:rsidR="00ED6457" w:rsidRDefault="00ED6457" w:rsidP="00ED6457">
      <w:pPr>
        <w:pStyle w:val="Figure"/>
      </w:pPr>
      <w:r>
        <w:t xml:space="preserve">The new ‘Generate PDF With Attachment’ button on the View PLI </w:t>
      </w:r>
      <w:proofErr w:type="gramStart"/>
      <w:r>
        <w:t>page</w:t>
      </w:r>
      <w:proofErr w:type="gramEnd"/>
      <w:r>
        <w:t xml:space="preserve"> </w:t>
      </w:r>
    </w:p>
    <w:p w14:paraId="7D136A02" w14:textId="7042D425" w:rsidR="00ED6457" w:rsidRDefault="00ED6457" w:rsidP="00ED6457">
      <w:r>
        <w:t>There are now options to generate PLI attachments in a single PDF file.</w:t>
      </w:r>
    </w:p>
    <w:p w14:paraId="0C362F79" w14:textId="4F1BE5F1" w:rsidR="00393884" w:rsidRDefault="00ED6457" w:rsidP="00ED6457">
      <w:r>
        <w:t xml:space="preserve">When viewing any </w:t>
      </w:r>
      <w:r w:rsidR="00393884">
        <w:t>PLI</w:t>
      </w:r>
      <w:r>
        <w:t xml:space="preserve"> that has Attachments there is now a new panel called ‘</w:t>
      </w:r>
      <w:r w:rsidR="00393884">
        <w:t>PLI</w:t>
      </w:r>
      <w:r>
        <w:t xml:space="preserve"> Full Documentation’. Clicking the ‘Generate </w:t>
      </w:r>
      <w:r w:rsidR="00496928">
        <w:t xml:space="preserve">PLI Report with </w:t>
      </w:r>
      <w:r>
        <w:t>Attachment</w:t>
      </w:r>
      <w:r w:rsidR="00496928">
        <w:t>s</w:t>
      </w:r>
      <w:r>
        <w:t>’ button in this panel, will generate a single PDF file that contain</w:t>
      </w:r>
      <w:r w:rsidR="00D8614E">
        <w:t>s</w:t>
      </w:r>
      <w:r>
        <w:t xml:space="preserve"> </w:t>
      </w:r>
      <w:r w:rsidR="00393884">
        <w:t>details of the PLI</w:t>
      </w:r>
      <w:r>
        <w:t xml:space="preserve"> together with all </w:t>
      </w:r>
      <w:r w:rsidR="00D8614E">
        <w:t>its</w:t>
      </w:r>
      <w:r>
        <w:t xml:space="preserve"> associated Attachment files.</w:t>
      </w:r>
      <w:r w:rsidR="00BC7054">
        <w:t xml:space="preserve"> There is an option to include/exclude specific attachments from the final file.</w:t>
      </w:r>
    </w:p>
    <w:p w14:paraId="51872A7D" w14:textId="77777777" w:rsidR="00E73FF2" w:rsidRDefault="00E73FF2" w:rsidP="00E73FF2">
      <w:pPr>
        <w:jc w:val="center"/>
        <w:rPr>
          <w:b/>
        </w:rPr>
      </w:pPr>
      <w:r w:rsidRPr="008035A4">
        <w:rPr>
          <w:b/>
          <w:noProof/>
        </w:rPr>
        <w:drawing>
          <wp:inline distT="0" distB="0" distL="0" distR="0" wp14:anchorId="4B47E778" wp14:editId="6A875ADB">
            <wp:extent cx="5497562" cy="885745"/>
            <wp:effectExtent l="19050" t="19050" r="825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497562" cy="885745"/>
                    </a:xfrm>
                    <a:prstGeom prst="rect">
                      <a:avLst/>
                    </a:prstGeom>
                    <a:ln>
                      <a:solidFill>
                        <a:schemeClr val="accent1"/>
                      </a:solidFill>
                    </a:ln>
                  </pic:spPr>
                </pic:pic>
              </a:graphicData>
            </a:graphic>
          </wp:inline>
        </w:drawing>
      </w:r>
    </w:p>
    <w:p w14:paraId="4975E7BC" w14:textId="0E07B6AA" w:rsidR="00E73FF2" w:rsidRDefault="007C5F7C" w:rsidP="00E73FF2">
      <w:pPr>
        <w:pStyle w:val="Figure"/>
      </w:pPr>
      <w:r>
        <w:t xml:space="preserve">The first page of the generated file, showing the Details </w:t>
      </w:r>
      <w:proofErr w:type="gramStart"/>
      <w:r>
        <w:t>page</w:t>
      </w:r>
      <w:proofErr w:type="gramEnd"/>
    </w:p>
    <w:p w14:paraId="60A455A4" w14:textId="77777777" w:rsidR="00ED6457" w:rsidRDefault="00ED6457" w:rsidP="00ED6457">
      <w:pPr>
        <w:jc w:val="center"/>
        <w:rPr>
          <w:b/>
        </w:rPr>
      </w:pPr>
      <w:r w:rsidRPr="008035A4">
        <w:rPr>
          <w:b/>
          <w:noProof/>
        </w:rPr>
        <w:lastRenderedPageBreak/>
        <w:drawing>
          <wp:inline distT="0" distB="0" distL="0" distR="0" wp14:anchorId="14EBF805" wp14:editId="39D14D90">
            <wp:extent cx="5228810" cy="1771049"/>
            <wp:effectExtent l="19050" t="19050" r="1016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extLst>
                        <a:ext uri="{28A0092B-C50C-407E-A947-70E740481C1C}">
                          <a14:useLocalDpi xmlns:a14="http://schemas.microsoft.com/office/drawing/2010/main" val="0"/>
                        </a:ext>
                      </a:extLst>
                    </a:blip>
                    <a:stretch>
                      <a:fillRect/>
                    </a:stretch>
                  </pic:blipFill>
                  <pic:spPr>
                    <a:xfrm>
                      <a:off x="0" y="0"/>
                      <a:ext cx="5271910" cy="1785647"/>
                    </a:xfrm>
                    <a:prstGeom prst="rect">
                      <a:avLst/>
                    </a:prstGeom>
                    <a:ln>
                      <a:solidFill>
                        <a:schemeClr val="accent1"/>
                      </a:solidFill>
                    </a:ln>
                  </pic:spPr>
                </pic:pic>
              </a:graphicData>
            </a:graphic>
          </wp:inline>
        </w:drawing>
      </w:r>
    </w:p>
    <w:p w14:paraId="75FACA25" w14:textId="056DD609" w:rsidR="002670CA" w:rsidRDefault="00ED6457" w:rsidP="002670CA">
      <w:pPr>
        <w:pStyle w:val="Figure"/>
      </w:pPr>
      <w:r>
        <w:t xml:space="preserve">Generating multiple </w:t>
      </w:r>
      <w:r w:rsidR="00D82176">
        <w:t>PLI</w:t>
      </w:r>
      <w:r>
        <w:t xml:space="preserve">s at the same time from the </w:t>
      </w:r>
      <w:r w:rsidR="00D82176">
        <w:t>PLI</w:t>
      </w:r>
      <w:r>
        <w:t xml:space="preserve"> Search page</w:t>
      </w:r>
    </w:p>
    <w:p w14:paraId="38B97ACC" w14:textId="5AE10A24" w:rsidR="00D82176" w:rsidRDefault="00D82176" w:rsidP="002670CA">
      <w:r>
        <w:t>The full documentation can also be generated for more than one PLI at a time. To do this go to the PLI Search page, tick one or more PLIs in the search results, click the arrow on the right of the Generate button, click ‘</w:t>
      </w:r>
      <w:r w:rsidR="00A84C41">
        <w:t>PLI Report w</w:t>
      </w:r>
      <w:r>
        <w:t>ith Attachments’.</w:t>
      </w:r>
    </w:p>
    <w:p w14:paraId="3129EEC5" w14:textId="6A340AB2" w:rsidR="002670CA" w:rsidRDefault="007B3ADE" w:rsidP="002670CA">
      <w:pPr>
        <w:pStyle w:val="Woodsubhead1-bulletednumberteal"/>
      </w:pPr>
      <w:r w:rsidRPr="007B3ADE">
        <w:t>Re</w:t>
      </w:r>
      <w:r w:rsidR="0098681B">
        <w:t>moving Sign Offs</w:t>
      </w:r>
      <w:r w:rsidRPr="007B3ADE">
        <w:t xml:space="preserve"> on DOTX</w:t>
      </w:r>
      <w:r w:rsidR="0098681B">
        <w:t xml:space="preserve"> based </w:t>
      </w:r>
      <w:proofErr w:type="gramStart"/>
      <w:r w:rsidR="0098681B">
        <w:t>ITRs</w:t>
      </w:r>
      <w:proofErr w:type="gramEnd"/>
    </w:p>
    <w:p w14:paraId="11393920" w14:textId="77777777" w:rsidR="00475987" w:rsidRDefault="007B2DBC" w:rsidP="0098681B">
      <w:pPr>
        <w:pStyle w:val="WoodBody"/>
      </w:pPr>
      <w:r>
        <w:t>If a DOTX based ITR needs rejected, it is now possible to remove the sign offs</w:t>
      </w:r>
      <w:r w:rsidR="00475987">
        <w:t>. This can be done</w:t>
      </w:r>
      <w:r w:rsidR="00525696">
        <w:t xml:space="preserve"> either through the Tag ITR edit page, or through the imports. </w:t>
      </w:r>
    </w:p>
    <w:p w14:paraId="1C2A458A" w14:textId="6FCB7AC2" w:rsidR="002670CA" w:rsidRDefault="00570799" w:rsidP="00A60AE6">
      <w:pPr>
        <w:pStyle w:val="WoodBody"/>
      </w:pPr>
      <w:r>
        <w:t xml:space="preserve">Digital document based ITRs can </w:t>
      </w:r>
      <w:r w:rsidR="00252BD1">
        <w:t xml:space="preserve">still </w:t>
      </w:r>
      <w:r>
        <w:t>be rejecte</w:t>
      </w:r>
      <w:r w:rsidR="00252BD1">
        <w:t>d by using the Reject button on the Edit Document page.</w:t>
      </w:r>
    </w:p>
    <w:p w14:paraId="526F50F8" w14:textId="2500D8BD" w:rsidR="002670CA" w:rsidRDefault="007B3ADE" w:rsidP="002670CA">
      <w:pPr>
        <w:pStyle w:val="Woodsubhead1-bulletednumberteal"/>
      </w:pPr>
      <w:r w:rsidRPr="007B3ADE">
        <w:t>New Partial Handover Report</w:t>
      </w:r>
    </w:p>
    <w:p w14:paraId="0196BA3D" w14:textId="77777777" w:rsidR="002670CA" w:rsidRDefault="002670CA" w:rsidP="002670CA">
      <w:pPr>
        <w:jc w:val="center"/>
        <w:rPr>
          <w:b/>
        </w:rPr>
      </w:pPr>
      <w:r w:rsidRPr="008035A4">
        <w:rPr>
          <w:b/>
          <w:noProof/>
        </w:rPr>
        <w:drawing>
          <wp:inline distT="0" distB="0" distL="0" distR="0" wp14:anchorId="3E4D618C" wp14:editId="18FBEE6D">
            <wp:extent cx="5389664" cy="1024036"/>
            <wp:effectExtent l="19050" t="19050" r="2095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389664" cy="1024036"/>
                    </a:xfrm>
                    <a:prstGeom prst="rect">
                      <a:avLst/>
                    </a:prstGeom>
                    <a:ln>
                      <a:solidFill>
                        <a:schemeClr val="accent1"/>
                      </a:solidFill>
                    </a:ln>
                  </pic:spPr>
                </pic:pic>
              </a:graphicData>
            </a:graphic>
          </wp:inline>
        </w:drawing>
      </w:r>
    </w:p>
    <w:p w14:paraId="0E7375A1" w14:textId="7B916D96" w:rsidR="002670CA" w:rsidRDefault="00EF690C" w:rsidP="002670CA">
      <w:pPr>
        <w:pStyle w:val="Figure"/>
      </w:pPr>
      <w:r>
        <w:t>The new Partial Handover Report on the Report List page</w:t>
      </w:r>
    </w:p>
    <w:p w14:paraId="7E744F31" w14:textId="27F3062C" w:rsidR="002670CA" w:rsidRDefault="00EF690C" w:rsidP="002670CA">
      <w:r>
        <w:t xml:space="preserve">There is a new report giving details of Partial Handovers. To generate this </w:t>
      </w:r>
      <w:proofErr w:type="gramStart"/>
      <w:r>
        <w:t>report</w:t>
      </w:r>
      <w:proofErr w:type="gramEnd"/>
      <w:r>
        <w:t xml:space="preserve"> go to Reports -&gt; Report List -&gt; in the </w:t>
      </w:r>
      <w:proofErr w:type="spellStart"/>
      <w:r>
        <w:t>Misc</w:t>
      </w:r>
      <w:proofErr w:type="spellEnd"/>
      <w:r>
        <w:t xml:space="preserve"> section click on ‘Partial Handover Report’</w:t>
      </w:r>
      <w:r w:rsidR="003E2E81">
        <w:t xml:space="preserve"> -&gt; Select the Handover Type -&gt; click the ‘Generate Partial Handover Report’ button.</w:t>
      </w:r>
    </w:p>
    <w:p w14:paraId="42DE7966" w14:textId="77777777" w:rsidR="00247E28" w:rsidRDefault="00247E28" w:rsidP="00247E28">
      <w:pPr>
        <w:jc w:val="center"/>
        <w:rPr>
          <w:b/>
        </w:rPr>
      </w:pPr>
      <w:r w:rsidRPr="008035A4">
        <w:rPr>
          <w:b/>
          <w:noProof/>
        </w:rPr>
        <w:drawing>
          <wp:inline distT="0" distB="0" distL="0" distR="0" wp14:anchorId="27FCC34C" wp14:editId="100FB4D7">
            <wp:extent cx="5134116" cy="1308526"/>
            <wp:effectExtent l="19050" t="19050" r="952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5134116" cy="1308526"/>
                    </a:xfrm>
                    <a:prstGeom prst="rect">
                      <a:avLst/>
                    </a:prstGeom>
                    <a:ln>
                      <a:solidFill>
                        <a:schemeClr val="accent1"/>
                      </a:solidFill>
                    </a:ln>
                  </pic:spPr>
                </pic:pic>
              </a:graphicData>
            </a:graphic>
          </wp:inline>
        </w:drawing>
      </w:r>
    </w:p>
    <w:p w14:paraId="6BE414BF" w14:textId="47DE719E" w:rsidR="00247E28" w:rsidRDefault="004A1520" w:rsidP="00BE6C5E">
      <w:pPr>
        <w:pStyle w:val="Figure"/>
      </w:pPr>
      <w:r>
        <w:t xml:space="preserve">The Partial Handover </w:t>
      </w:r>
      <w:r w:rsidR="00CE110E">
        <w:t>Report generation page</w:t>
      </w:r>
      <w:r w:rsidR="00247E28">
        <w:t xml:space="preserve"> </w:t>
      </w:r>
    </w:p>
    <w:p w14:paraId="19A8C587" w14:textId="07F57867" w:rsidR="00E82F28" w:rsidRDefault="0090411D" w:rsidP="00E82F28">
      <w:pPr>
        <w:rPr>
          <w:lang w:eastAsia="en-US"/>
        </w:rPr>
      </w:pPr>
      <w:r>
        <w:rPr>
          <w:lang w:eastAsia="en-US"/>
        </w:rPr>
        <w:t xml:space="preserve">When the report </w:t>
      </w:r>
      <w:r w:rsidR="004A1520">
        <w:rPr>
          <w:lang w:eastAsia="en-US"/>
        </w:rPr>
        <w:t xml:space="preserve">has been </w:t>
      </w:r>
      <w:r>
        <w:rPr>
          <w:lang w:eastAsia="en-US"/>
        </w:rPr>
        <w:t xml:space="preserve">generated, </w:t>
      </w:r>
      <w:r w:rsidR="004A1520">
        <w:rPr>
          <w:lang w:eastAsia="en-US"/>
        </w:rPr>
        <w:t xml:space="preserve">you will be notified with an </w:t>
      </w:r>
      <w:r>
        <w:rPr>
          <w:lang w:eastAsia="en-US"/>
        </w:rPr>
        <w:t xml:space="preserve">onscreen notification and </w:t>
      </w:r>
      <w:r w:rsidR="004A1520">
        <w:rPr>
          <w:lang w:eastAsia="en-US"/>
        </w:rPr>
        <w:t xml:space="preserve">an </w:t>
      </w:r>
      <w:r w:rsidR="008239F7">
        <w:rPr>
          <w:lang w:eastAsia="en-US"/>
        </w:rPr>
        <w:t>email. The report can then be downloaded by clicking the Download button.</w:t>
      </w:r>
      <w:r w:rsidR="00456FD2">
        <w:rPr>
          <w:lang w:eastAsia="en-US"/>
        </w:rPr>
        <w:t xml:space="preserve"> The report remains available for other users to download. If you wish to generate an updated version of the report, click the Delete button and generate again.</w:t>
      </w:r>
    </w:p>
    <w:p w14:paraId="3226A9AB" w14:textId="77777777" w:rsidR="00E82F28" w:rsidRDefault="00E82F28" w:rsidP="00E82F28">
      <w:pPr>
        <w:jc w:val="center"/>
        <w:rPr>
          <w:b/>
        </w:rPr>
      </w:pPr>
      <w:r w:rsidRPr="008035A4">
        <w:rPr>
          <w:b/>
          <w:noProof/>
        </w:rPr>
        <w:lastRenderedPageBreak/>
        <w:drawing>
          <wp:inline distT="0" distB="0" distL="0" distR="0" wp14:anchorId="2D9533D2" wp14:editId="04936AA7">
            <wp:extent cx="5030354" cy="1308526"/>
            <wp:effectExtent l="19050" t="19050" r="18415" b="2540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030354" cy="1308526"/>
                    </a:xfrm>
                    <a:prstGeom prst="rect">
                      <a:avLst/>
                    </a:prstGeom>
                    <a:ln>
                      <a:solidFill>
                        <a:schemeClr val="accent1"/>
                      </a:solidFill>
                    </a:ln>
                  </pic:spPr>
                </pic:pic>
              </a:graphicData>
            </a:graphic>
          </wp:inline>
        </w:drawing>
      </w:r>
    </w:p>
    <w:p w14:paraId="1047CD21" w14:textId="143105B4" w:rsidR="00E82F28" w:rsidRDefault="00E82F28" w:rsidP="00E82F28">
      <w:pPr>
        <w:pStyle w:val="Figure"/>
      </w:pPr>
      <w:r>
        <w:t>Example of a Partial Handover Report</w:t>
      </w:r>
    </w:p>
    <w:p w14:paraId="4F0F0EDC" w14:textId="032B7F0F" w:rsidR="002670CA" w:rsidRDefault="00CC55CC" w:rsidP="002670CA">
      <w:pPr>
        <w:rPr>
          <w:lang w:eastAsia="en-US"/>
        </w:rPr>
      </w:pPr>
      <w:r>
        <w:rPr>
          <w:lang w:eastAsia="en-US"/>
        </w:rPr>
        <w:t>The report lists all Handovers, with details of any associated Partial Handovers indented underneath.</w:t>
      </w:r>
    </w:p>
    <w:p w14:paraId="0FBA007E" w14:textId="7245EE09" w:rsidR="002670CA" w:rsidRDefault="00A9523A" w:rsidP="002670CA">
      <w:pPr>
        <w:pStyle w:val="Woodsubhead1-bulletednumberteal"/>
      </w:pPr>
      <w:r w:rsidRPr="00A9523A">
        <w:t>Partial Handovers in Handover Dossiers</w:t>
      </w:r>
    </w:p>
    <w:p w14:paraId="4F27FBE6" w14:textId="77777777" w:rsidR="002670CA" w:rsidRDefault="002670CA" w:rsidP="002670CA">
      <w:pPr>
        <w:jc w:val="center"/>
        <w:rPr>
          <w:b/>
        </w:rPr>
      </w:pPr>
      <w:r w:rsidRPr="008035A4">
        <w:rPr>
          <w:b/>
          <w:noProof/>
        </w:rPr>
        <w:drawing>
          <wp:inline distT="0" distB="0" distL="0" distR="0" wp14:anchorId="680DFD43" wp14:editId="724AFB93">
            <wp:extent cx="5497562" cy="1248194"/>
            <wp:effectExtent l="19050" t="19050" r="825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5497562" cy="1248194"/>
                    </a:xfrm>
                    <a:prstGeom prst="rect">
                      <a:avLst/>
                    </a:prstGeom>
                    <a:ln>
                      <a:solidFill>
                        <a:schemeClr val="accent1"/>
                      </a:solidFill>
                    </a:ln>
                  </pic:spPr>
                </pic:pic>
              </a:graphicData>
            </a:graphic>
          </wp:inline>
        </w:drawing>
      </w:r>
    </w:p>
    <w:p w14:paraId="4BF77D65" w14:textId="55A372D3" w:rsidR="002670CA" w:rsidRDefault="00FA061B" w:rsidP="002670CA">
      <w:pPr>
        <w:pStyle w:val="Figure"/>
      </w:pPr>
      <w:r>
        <w:t>Example of Handover Dossier report page showing details of some Partial Handovers</w:t>
      </w:r>
    </w:p>
    <w:p w14:paraId="4020FC0E" w14:textId="1299716B" w:rsidR="007444B4" w:rsidRDefault="007444B4" w:rsidP="002670CA">
      <w:r>
        <w:t>Details of Partial Handovers are now included in the Handover Dossier, indented under the main Handover, as shown above.</w:t>
      </w:r>
    </w:p>
    <w:p w14:paraId="741B328D" w14:textId="4946028A" w:rsidR="002670CA" w:rsidRDefault="007A10F1" w:rsidP="00AA0A8A">
      <w:r>
        <w:t>A report on Partial Handovers is also available</w:t>
      </w:r>
      <w:r w:rsidR="00DF639A">
        <w:t>. To generate this</w:t>
      </w:r>
      <w:r w:rsidR="00217F5F">
        <w:t>,</w:t>
      </w:r>
      <w:r w:rsidR="00DF639A">
        <w:t xml:space="preserve"> go to Report -&gt; </w:t>
      </w:r>
      <w:r>
        <w:t xml:space="preserve">Report </w:t>
      </w:r>
      <w:r w:rsidR="00DF639A">
        <w:t xml:space="preserve">List </w:t>
      </w:r>
      <w:r>
        <w:t>-</w:t>
      </w:r>
      <w:r w:rsidR="00DF639A">
        <w:t>&gt; Misc. section -&gt; Partial Handover Report</w:t>
      </w:r>
      <w:r w:rsidR="00237A71">
        <w:t xml:space="preserve"> -&gt; select a Handover Type -&gt; click </w:t>
      </w:r>
      <w:r w:rsidR="00217F5F">
        <w:t>Generate Partial Handover Report.</w:t>
      </w:r>
    </w:p>
    <w:p w14:paraId="610CD6AD" w14:textId="04CA99B0" w:rsidR="002670CA" w:rsidRDefault="00A9523A" w:rsidP="002670CA">
      <w:pPr>
        <w:pStyle w:val="Woodsubhead1-bulletednumberteal"/>
      </w:pPr>
      <w:r w:rsidRPr="00A9523A">
        <w:t xml:space="preserve">Sign off </w:t>
      </w:r>
      <w:proofErr w:type="gramStart"/>
      <w:r w:rsidRPr="00A9523A">
        <w:t>Operations</w:t>
      </w:r>
      <w:proofErr w:type="gramEnd"/>
    </w:p>
    <w:p w14:paraId="14A13859" w14:textId="77777777" w:rsidR="002670CA" w:rsidRDefault="002670CA" w:rsidP="002670CA">
      <w:pPr>
        <w:jc w:val="center"/>
        <w:rPr>
          <w:b/>
        </w:rPr>
      </w:pPr>
      <w:r w:rsidRPr="008035A4">
        <w:rPr>
          <w:b/>
          <w:noProof/>
        </w:rPr>
        <w:drawing>
          <wp:inline distT="0" distB="0" distL="0" distR="0" wp14:anchorId="04C42AD4" wp14:editId="34E24583">
            <wp:extent cx="5389664" cy="2126534"/>
            <wp:effectExtent l="19050" t="19050" r="2095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5389664" cy="2126534"/>
                    </a:xfrm>
                    <a:prstGeom prst="rect">
                      <a:avLst/>
                    </a:prstGeom>
                    <a:ln>
                      <a:solidFill>
                        <a:schemeClr val="accent1"/>
                      </a:solidFill>
                    </a:ln>
                  </pic:spPr>
                </pic:pic>
              </a:graphicData>
            </a:graphic>
          </wp:inline>
        </w:drawing>
      </w:r>
    </w:p>
    <w:p w14:paraId="07FB70CC" w14:textId="4B916F53" w:rsidR="002670CA" w:rsidRDefault="00206827" w:rsidP="002670CA">
      <w:pPr>
        <w:pStyle w:val="Figure"/>
      </w:pPr>
      <w:r>
        <w:t xml:space="preserve">The new Sign Off </w:t>
      </w:r>
      <w:r w:rsidR="00BA61AA">
        <w:t xml:space="preserve">panel on an </w:t>
      </w:r>
      <w:proofErr w:type="gramStart"/>
      <w:r w:rsidR="00BA61AA">
        <w:t>Operation</w:t>
      </w:r>
      <w:proofErr w:type="gramEnd"/>
      <w:r w:rsidR="002670CA">
        <w:t xml:space="preserve"> </w:t>
      </w:r>
    </w:p>
    <w:p w14:paraId="0FFA939B" w14:textId="77777777" w:rsidR="00871521" w:rsidRDefault="00CC21FA" w:rsidP="002670CA">
      <w:r>
        <w:t>Sign Offs have now been added to Operations.</w:t>
      </w:r>
      <w:r w:rsidR="00BA61AA">
        <w:t xml:space="preserve"> This is a single sign off consisting of an Authorised Person name and the date.</w:t>
      </w:r>
      <w:r w:rsidR="00D22B19">
        <w:t xml:space="preserve"> </w:t>
      </w:r>
    </w:p>
    <w:p w14:paraId="5F636FBF" w14:textId="77777777" w:rsidR="001A290C" w:rsidRDefault="00D95E56" w:rsidP="002670CA">
      <w:r>
        <w:t xml:space="preserve">When the sign off is made, the Is Complete field will be moved to Yes, or the Progress field moved to 100%. </w:t>
      </w:r>
    </w:p>
    <w:p w14:paraId="42A1F3AD" w14:textId="77777777" w:rsidR="005D6195" w:rsidRDefault="005D6195" w:rsidP="005D6195">
      <w:pPr>
        <w:jc w:val="center"/>
        <w:rPr>
          <w:b/>
        </w:rPr>
      </w:pPr>
      <w:r w:rsidRPr="008035A4">
        <w:rPr>
          <w:b/>
          <w:noProof/>
        </w:rPr>
        <w:lastRenderedPageBreak/>
        <w:drawing>
          <wp:inline distT="0" distB="0" distL="0" distR="0" wp14:anchorId="699CFA2F" wp14:editId="24292FEB">
            <wp:extent cx="5389664" cy="2225174"/>
            <wp:effectExtent l="19050" t="19050" r="20955"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5389664" cy="2225174"/>
                    </a:xfrm>
                    <a:prstGeom prst="rect">
                      <a:avLst/>
                    </a:prstGeom>
                    <a:ln>
                      <a:solidFill>
                        <a:schemeClr val="accent1"/>
                      </a:solidFill>
                    </a:ln>
                  </pic:spPr>
                </pic:pic>
              </a:graphicData>
            </a:graphic>
          </wp:inline>
        </w:drawing>
      </w:r>
    </w:p>
    <w:p w14:paraId="5A0E1734" w14:textId="59AF16B9" w:rsidR="005D6195" w:rsidRDefault="001C661C" w:rsidP="001C661C">
      <w:pPr>
        <w:pStyle w:val="Figure"/>
      </w:pPr>
      <w:r>
        <w:t>Signing off multiple Operations</w:t>
      </w:r>
      <w:r w:rsidR="005D6195">
        <w:t xml:space="preserve"> </w:t>
      </w:r>
    </w:p>
    <w:p w14:paraId="40B71804" w14:textId="38D2EEAA" w:rsidR="001A290C" w:rsidRDefault="001C661C" w:rsidP="002670CA">
      <w:r>
        <w:t xml:space="preserve">Multiple Operations can be signed off at the same time from the Operations Search page. </w:t>
      </w:r>
      <w:r w:rsidR="00F97EBD">
        <w:t>To do this, tick one or more Operations, click the Sign Off button, then enter the details in the popup.</w:t>
      </w:r>
    </w:p>
    <w:p w14:paraId="5422FA01" w14:textId="0F1AC7A7" w:rsidR="002670CA" w:rsidRDefault="00D22B19" w:rsidP="002670CA">
      <w:r>
        <w:t>The sign off</w:t>
      </w:r>
      <w:r w:rsidR="00F97EBD">
        <w:t>s</w:t>
      </w:r>
      <w:r>
        <w:t xml:space="preserve"> can </w:t>
      </w:r>
      <w:r w:rsidR="00871521">
        <w:t>also be completed</w:t>
      </w:r>
      <w:r>
        <w:t xml:space="preserve"> through the imports or the API.</w:t>
      </w:r>
    </w:p>
    <w:p w14:paraId="763D6C82" w14:textId="77777777" w:rsidR="00D22B19" w:rsidRDefault="00D22B19" w:rsidP="002670CA"/>
    <w:p w14:paraId="278DF1EC" w14:textId="77777777" w:rsidR="009436B4" w:rsidRDefault="009436B4" w:rsidP="009436B4">
      <w:pPr>
        <w:jc w:val="center"/>
        <w:rPr>
          <w:b/>
        </w:rPr>
      </w:pPr>
      <w:r w:rsidRPr="008035A4">
        <w:rPr>
          <w:b/>
          <w:noProof/>
        </w:rPr>
        <w:drawing>
          <wp:inline distT="0" distB="0" distL="0" distR="0" wp14:anchorId="48A0D612" wp14:editId="5D414BF3">
            <wp:extent cx="5389664" cy="2310505"/>
            <wp:effectExtent l="19050" t="19050" r="20955" b="1397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389664" cy="2310505"/>
                    </a:xfrm>
                    <a:prstGeom prst="rect">
                      <a:avLst/>
                    </a:prstGeom>
                    <a:ln>
                      <a:solidFill>
                        <a:schemeClr val="accent1"/>
                      </a:solidFill>
                    </a:ln>
                  </pic:spPr>
                </pic:pic>
              </a:graphicData>
            </a:graphic>
          </wp:inline>
        </w:drawing>
      </w:r>
    </w:p>
    <w:p w14:paraId="0B86ACD3" w14:textId="77777777" w:rsidR="009436B4" w:rsidRDefault="009436B4" w:rsidP="009436B4">
      <w:pPr>
        <w:pStyle w:val="Figure"/>
      </w:pPr>
      <w:r>
        <w:t xml:space="preserve">The new Sign Off Operations permission on Authorised Person </w:t>
      </w:r>
    </w:p>
    <w:p w14:paraId="5CDDE588" w14:textId="04759461" w:rsidR="002670CA" w:rsidRDefault="00206827" w:rsidP="002670CA">
      <w:r>
        <w:t xml:space="preserve">To </w:t>
      </w:r>
      <w:r w:rsidR="00F97EBD">
        <w:t>give</w:t>
      </w:r>
      <w:r>
        <w:t xml:space="preserve"> someone t</w:t>
      </w:r>
      <w:r w:rsidR="00A92AA6">
        <w:t>he permission to</w:t>
      </w:r>
      <w:r>
        <w:t xml:space="preserve"> </w:t>
      </w:r>
      <w:r w:rsidR="0008764E">
        <w:t>sign off Operations, tick ‘Sign Off Operations’ in the Section Permissions on their Authorised Person.</w:t>
      </w:r>
    </w:p>
    <w:p w14:paraId="47BB8532" w14:textId="5F357ADD" w:rsidR="002670CA" w:rsidRDefault="00A9523A" w:rsidP="002670CA">
      <w:pPr>
        <w:pStyle w:val="Woodsubhead1-bulletednumberteal"/>
      </w:pPr>
      <w:r w:rsidRPr="00A9523A">
        <w:t xml:space="preserve">Checkboxes in </w:t>
      </w:r>
      <w:r w:rsidR="00737460">
        <w:t>Tables in Digital Documents</w:t>
      </w:r>
    </w:p>
    <w:p w14:paraId="767FCAED" w14:textId="77777777" w:rsidR="002670CA" w:rsidRDefault="002670CA" w:rsidP="002670CA">
      <w:pPr>
        <w:jc w:val="center"/>
        <w:rPr>
          <w:b/>
        </w:rPr>
      </w:pPr>
      <w:r w:rsidRPr="008035A4">
        <w:rPr>
          <w:b/>
          <w:noProof/>
        </w:rPr>
        <w:drawing>
          <wp:inline distT="0" distB="0" distL="0" distR="0" wp14:anchorId="7D296DE8" wp14:editId="2A5CE893">
            <wp:extent cx="5497562" cy="1585550"/>
            <wp:effectExtent l="19050" t="19050" r="825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5497562" cy="1585550"/>
                    </a:xfrm>
                    <a:prstGeom prst="rect">
                      <a:avLst/>
                    </a:prstGeom>
                    <a:ln>
                      <a:solidFill>
                        <a:schemeClr val="accent1"/>
                      </a:solidFill>
                    </a:ln>
                  </pic:spPr>
                </pic:pic>
              </a:graphicData>
            </a:graphic>
          </wp:inline>
        </w:drawing>
      </w:r>
    </w:p>
    <w:p w14:paraId="1F98E481" w14:textId="3D755D3E" w:rsidR="002670CA" w:rsidRDefault="00D93B64" w:rsidP="002670CA">
      <w:pPr>
        <w:pStyle w:val="Figure"/>
      </w:pPr>
      <w:r>
        <w:lastRenderedPageBreak/>
        <w:t>Creating a Checkbox in a Table Task</w:t>
      </w:r>
    </w:p>
    <w:p w14:paraId="4782ECD3" w14:textId="694E697A" w:rsidR="002670CA" w:rsidRDefault="00737460" w:rsidP="002670CA">
      <w:r>
        <w:t>It is now possible to create Tables that contain checkboxes in Digital Documents.</w:t>
      </w:r>
      <w:r w:rsidR="00C11603">
        <w:t xml:space="preserve"> To do this, </w:t>
      </w:r>
      <w:r w:rsidR="00F94201">
        <w:t xml:space="preserve">tick </w:t>
      </w:r>
      <w:r w:rsidR="007B4782">
        <w:t>the Checkbox column</w:t>
      </w:r>
      <w:r w:rsidR="00F94201">
        <w:t xml:space="preserve"> when editing the Task Table. </w:t>
      </w:r>
    </w:p>
    <w:p w14:paraId="2AD458B8" w14:textId="77777777" w:rsidR="00C45522" w:rsidRDefault="00C45522" w:rsidP="00C45522">
      <w:pPr>
        <w:jc w:val="center"/>
        <w:rPr>
          <w:b/>
        </w:rPr>
      </w:pPr>
      <w:r w:rsidRPr="008035A4">
        <w:rPr>
          <w:b/>
          <w:noProof/>
        </w:rPr>
        <w:drawing>
          <wp:inline distT="0" distB="0" distL="0" distR="0" wp14:anchorId="014E1BC6" wp14:editId="3917EE26">
            <wp:extent cx="5395602" cy="1585550"/>
            <wp:effectExtent l="19050" t="19050" r="14605" b="1524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395602" cy="1585550"/>
                    </a:xfrm>
                    <a:prstGeom prst="rect">
                      <a:avLst/>
                    </a:prstGeom>
                    <a:ln>
                      <a:solidFill>
                        <a:schemeClr val="accent1"/>
                      </a:solidFill>
                    </a:ln>
                  </pic:spPr>
                </pic:pic>
              </a:graphicData>
            </a:graphic>
          </wp:inline>
        </w:drawing>
      </w:r>
    </w:p>
    <w:p w14:paraId="2F5C419E" w14:textId="56DDE6BB" w:rsidR="00C45522" w:rsidRDefault="00C45522" w:rsidP="00C45522">
      <w:pPr>
        <w:pStyle w:val="Figure"/>
      </w:pPr>
      <w:r>
        <w:t xml:space="preserve">Checkbox </w:t>
      </w:r>
      <w:r w:rsidR="004E4466">
        <w:t xml:space="preserve">tasks in </w:t>
      </w:r>
      <w:r>
        <w:t xml:space="preserve">a Table </w:t>
      </w:r>
      <w:r w:rsidR="004E4466">
        <w:t>in a Tag ITR digital document</w:t>
      </w:r>
    </w:p>
    <w:p w14:paraId="0DCA0071" w14:textId="1CC89811" w:rsidR="008737D1" w:rsidRDefault="008737D1" w:rsidP="008737D1">
      <w:pPr>
        <w:pStyle w:val="Woodsubhead1-bulletednumberteal"/>
      </w:pPr>
      <w:r>
        <w:t>Session Expiry Notifications</w:t>
      </w:r>
    </w:p>
    <w:p w14:paraId="197FA3E1" w14:textId="77777777" w:rsidR="008737D1" w:rsidRDefault="008737D1" w:rsidP="008737D1">
      <w:pPr>
        <w:jc w:val="center"/>
        <w:rPr>
          <w:b/>
        </w:rPr>
      </w:pPr>
      <w:r w:rsidRPr="008035A4">
        <w:rPr>
          <w:b/>
          <w:noProof/>
        </w:rPr>
        <w:drawing>
          <wp:inline distT="0" distB="0" distL="0" distR="0" wp14:anchorId="114783E4" wp14:editId="42E31B89">
            <wp:extent cx="1889263" cy="605649"/>
            <wp:effectExtent l="19050" t="19050" r="15875"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1927410" cy="617878"/>
                    </a:xfrm>
                    <a:prstGeom prst="rect">
                      <a:avLst/>
                    </a:prstGeom>
                    <a:ln>
                      <a:solidFill>
                        <a:schemeClr val="accent1"/>
                      </a:solidFill>
                    </a:ln>
                  </pic:spPr>
                </pic:pic>
              </a:graphicData>
            </a:graphic>
          </wp:inline>
        </w:drawing>
      </w:r>
    </w:p>
    <w:p w14:paraId="50BEA463" w14:textId="4168ECFE" w:rsidR="008737D1" w:rsidRDefault="00C21B4F" w:rsidP="008737D1">
      <w:pPr>
        <w:pStyle w:val="Figure"/>
      </w:pPr>
      <w:r>
        <w:t>The expiry notification</w:t>
      </w:r>
    </w:p>
    <w:p w14:paraId="218AB34A" w14:textId="77D5A5E6" w:rsidR="002670CA" w:rsidRDefault="00DA5828" w:rsidP="008737D1">
      <w:r>
        <w:t xml:space="preserve">After 20 minutes of inactivity </w:t>
      </w:r>
      <w:r w:rsidR="00E373D3">
        <w:t>hub2 sessions expire</w:t>
      </w:r>
      <w:r w:rsidR="007D6937">
        <w:t>, requiring log in again</w:t>
      </w:r>
      <w:r w:rsidR="00E373D3">
        <w:t>. This is a security measure</w:t>
      </w:r>
      <w:r w:rsidR="006E665D">
        <w:t>.</w:t>
      </w:r>
      <w:r w:rsidR="001038D6">
        <w:t xml:space="preserve"> </w:t>
      </w:r>
      <w:r w:rsidR="007D6937">
        <w:t>In this release, a</w:t>
      </w:r>
      <w:r w:rsidR="001038D6">
        <w:t xml:space="preserve"> warning message </w:t>
      </w:r>
      <w:r w:rsidR="007D6937">
        <w:t xml:space="preserve">has been added, which </w:t>
      </w:r>
      <w:r w:rsidR="007E1A4E">
        <w:t>is</w:t>
      </w:r>
      <w:r w:rsidR="007D6937">
        <w:t xml:space="preserve"> </w:t>
      </w:r>
      <w:r w:rsidR="001038D6">
        <w:t>displayed one minute before the session is due to expire.</w:t>
      </w:r>
      <w:r w:rsidR="00E373D3">
        <w:t xml:space="preserve"> </w:t>
      </w:r>
    </w:p>
    <w:p w14:paraId="23EA1E85" w14:textId="187335BF" w:rsidR="002670CA" w:rsidRDefault="0031289C" w:rsidP="002670CA">
      <w:pPr>
        <w:pStyle w:val="Woodsubhead1-bulletednumberteal"/>
      </w:pPr>
      <w:r>
        <w:t>Search Processes by</w:t>
      </w:r>
      <w:r w:rsidR="009B3B27">
        <w:t xml:space="preserve"> the</w:t>
      </w:r>
      <w:r>
        <w:t xml:space="preserve"> </w:t>
      </w:r>
      <w:r w:rsidR="009B3B27">
        <w:t>‘</w:t>
      </w:r>
      <w:r>
        <w:t>Assigned To</w:t>
      </w:r>
      <w:r w:rsidR="009B3B27">
        <w:t>’</w:t>
      </w:r>
      <w:r>
        <w:t xml:space="preserve"> </w:t>
      </w:r>
      <w:proofErr w:type="gramStart"/>
      <w:r>
        <w:t>field</w:t>
      </w:r>
      <w:proofErr w:type="gramEnd"/>
    </w:p>
    <w:p w14:paraId="3B59231E" w14:textId="77777777" w:rsidR="002670CA" w:rsidRDefault="002670CA" w:rsidP="002670CA">
      <w:pPr>
        <w:jc w:val="center"/>
        <w:rPr>
          <w:b/>
        </w:rPr>
      </w:pPr>
      <w:r w:rsidRPr="008035A4">
        <w:rPr>
          <w:b/>
          <w:noProof/>
        </w:rPr>
        <w:drawing>
          <wp:inline distT="0" distB="0" distL="0" distR="0" wp14:anchorId="368AEF5A" wp14:editId="319F8935">
            <wp:extent cx="5236762" cy="3043285"/>
            <wp:effectExtent l="19050" t="19050" r="2159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5265781" cy="3060149"/>
                    </a:xfrm>
                    <a:prstGeom prst="rect">
                      <a:avLst/>
                    </a:prstGeom>
                    <a:ln>
                      <a:solidFill>
                        <a:schemeClr val="accent1"/>
                      </a:solidFill>
                    </a:ln>
                  </pic:spPr>
                </pic:pic>
              </a:graphicData>
            </a:graphic>
          </wp:inline>
        </w:drawing>
      </w:r>
    </w:p>
    <w:p w14:paraId="65A4FFC7" w14:textId="4D3179C5" w:rsidR="002670CA" w:rsidRDefault="00AD7C79" w:rsidP="002670CA">
      <w:pPr>
        <w:pStyle w:val="Figure"/>
      </w:pPr>
      <w:r>
        <w:t xml:space="preserve">The new ‘Assigned To’ search </w:t>
      </w:r>
      <w:proofErr w:type="gramStart"/>
      <w:r>
        <w:t>field</w:t>
      </w:r>
      <w:proofErr w:type="gramEnd"/>
    </w:p>
    <w:p w14:paraId="2F79568F" w14:textId="1FF19E51" w:rsidR="002670CA" w:rsidRDefault="0031289C" w:rsidP="002670CA">
      <w:r>
        <w:t xml:space="preserve">The ‘Assigned To’ field on Processes is now available as a Search Filter on </w:t>
      </w:r>
      <w:r w:rsidR="00D86076">
        <w:t>the Process Search page.</w:t>
      </w:r>
      <w:r w:rsidR="00762435">
        <w:t xml:space="preserve"> This provides an easy way to quickly locate all Processes currently allocated to a specific Authorised Person.</w:t>
      </w:r>
    </w:p>
    <w:p w14:paraId="5CFA771A" w14:textId="54F91211" w:rsidR="002670CA" w:rsidRDefault="00840911" w:rsidP="002670CA">
      <w:pPr>
        <w:pStyle w:val="Woodsubhead1-bulletednumberteal"/>
      </w:pPr>
      <w:r w:rsidRPr="00840911">
        <w:t xml:space="preserve">Process Builder – </w:t>
      </w:r>
      <w:r w:rsidR="00024C78">
        <w:t>N</w:t>
      </w:r>
      <w:r w:rsidRPr="00840911">
        <w:t xml:space="preserve">ew </w:t>
      </w:r>
      <w:r w:rsidR="00024C78">
        <w:t>Detailed R</w:t>
      </w:r>
      <w:r w:rsidRPr="00840911">
        <w:t>eport</w:t>
      </w:r>
      <w:r w:rsidR="00024C78">
        <w:t>s</w:t>
      </w:r>
    </w:p>
    <w:p w14:paraId="211AA7E8" w14:textId="77777777" w:rsidR="002670CA" w:rsidRDefault="002670CA" w:rsidP="002670CA">
      <w:pPr>
        <w:jc w:val="center"/>
        <w:rPr>
          <w:b/>
        </w:rPr>
      </w:pPr>
      <w:r w:rsidRPr="008035A4">
        <w:rPr>
          <w:b/>
          <w:noProof/>
        </w:rPr>
        <w:lastRenderedPageBreak/>
        <w:drawing>
          <wp:inline distT="0" distB="0" distL="0" distR="0" wp14:anchorId="10C6180D" wp14:editId="39C91607">
            <wp:extent cx="5497562" cy="1564999"/>
            <wp:effectExtent l="19050" t="19050" r="2730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5497562" cy="1564999"/>
                    </a:xfrm>
                    <a:prstGeom prst="rect">
                      <a:avLst/>
                    </a:prstGeom>
                    <a:ln>
                      <a:solidFill>
                        <a:schemeClr val="accent1"/>
                      </a:solidFill>
                    </a:ln>
                  </pic:spPr>
                </pic:pic>
              </a:graphicData>
            </a:graphic>
          </wp:inline>
        </w:drawing>
      </w:r>
    </w:p>
    <w:p w14:paraId="16A840CE" w14:textId="1EB4DDD4" w:rsidR="002670CA" w:rsidRDefault="0013021F" w:rsidP="002670CA">
      <w:pPr>
        <w:pStyle w:val="Figure"/>
      </w:pPr>
      <w:r>
        <w:t xml:space="preserve">Example of </w:t>
      </w:r>
      <w:r w:rsidR="000230C5">
        <w:t xml:space="preserve">the CDAG Detailed Report </w:t>
      </w:r>
      <w:r>
        <w:t>PDF</w:t>
      </w:r>
      <w:r w:rsidR="002670CA">
        <w:t xml:space="preserve"> </w:t>
      </w:r>
    </w:p>
    <w:p w14:paraId="4FCAEA4A" w14:textId="275CC51D" w:rsidR="00DD7F38" w:rsidRDefault="00DD7F38" w:rsidP="00DD7F38">
      <w:r>
        <w:t>Two new reporting options have been added to report on CDAG and TCA/TSM Processes.</w:t>
      </w:r>
    </w:p>
    <w:p w14:paraId="0DAC3E99" w14:textId="038AE032" w:rsidR="002670CA" w:rsidRDefault="00131A4D" w:rsidP="00AA0A8A">
      <w:r>
        <w:t xml:space="preserve">To generate a CDAG report, go to Process Builder -&gt; </w:t>
      </w:r>
      <w:r w:rsidR="009D0BA4">
        <w:t>Detailed Report -&gt; select CDAG in the Process Type field -&gt; click Run PDF.</w:t>
      </w:r>
      <w:r w:rsidR="00914C37">
        <w:t xml:space="preserve"> The PDF will be generated including the specific columns as shown above.</w:t>
      </w:r>
    </w:p>
    <w:p w14:paraId="677C87C2" w14:textId="77777777" w:rsidR="002670CA" w:rsidRDefault="002670CA" w:rsidP="002670CA">
      <w:pPr>
        <w:jc w:val="center"/>
        <w:rPr>
          <w:b/>
        </w:rPr>
      </w:pPr>
      <w:r w:rsidRPr="008035A4">
        <w:rPr>
          <w:b/>
          <w:noProof/>
        </w:rPr>
        <w:drawing>
          <wp:inline distT="0" distB="0" distL="0" distR="0" wp14:anchorId="727EE7D5" wp14:editId="3D750AD8">
            <wp:extent cx="5389664" cy="1141166"/>
            <wp:effectExtent l="19050" t="19050" r="2095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5389664" cy="1141166"/>
                    </a:xfrm>
                    <a:prstGeom prst="rect">
                      <a:avLst/>
                    </a:prstGeom>
                    <a:ln>
                      <a:solidFill>
                        <a:schemeClr val="accent1"/>
                      </a:solidFill>
                    </a:ln>
                  </pic:spPr>
                </pic:pic>
              </a:graphicData>
            </a:graphic>
          </wp:inline>
        </w:drawing>
      </w:r>
    </w:p>
    <w:p w14:paraId="2F710FE5" w14:textId="4244805C" w:rsidR="002670CA" w:rsidRDefault="00912BB2" w:rsidP="002670CA">
      <w:pPr>
        <w:pStyle w:val="Figure"/>
      </w:pPr>
      <w:r>
        <w:t>Example of the TCA/TSM Detailed Report PDF</w:t>
      </w:r>
    </w:p>
    <w:p w14:paraId="102AA949" w14:textId="05501DB5" w:rsidR="00914C37" w:rsidRDefault="00914C37" w:rsidP="00914C37">
      <w:r>
        <w:t>To generate a TCA/TSM report, go to Process Builder -&gt; Detailed Report -&gt; select TCA/TSM in the Process Type field -&gt; click Run PDF. The PDF will be generated including the specific columns as shown above.</w:t>
      </w:r>
    </w:p>
    <w:p w14:paraId="60C4349B" w14:textId="0EE27F70" w:rsidR="002670CA" w:rsidRDefault="00914C37" w:rsidP="002670CA">
      <w:r>
        <w:t>Both these reports may also be generated in Excel format.</w:t>
      </w:r>
    </w:p>
    <w:p w14:paraId="527831F7" w14:textId="50842439" w:rsidR="002670CA" w:rsidRDefault="00840911" w:rsidP="005330B3">
      <w:pPr>
        <w:pStyle w:val="Woodsubhead1-bulletednumberteal"/>
      </w:pPr>
      <w:r w:rsidRPr="00840911">
        <w:t>API – additional fields on Handover endpoints</w:t>
      </w:r>
      <w:r w:rsidR="002670CA">
        <w:t xml:space="preserve"> </w:t>
      </w:r>
    </w:p>
    <w:p w14:paraId="1F02C37D" w14:textId="220E76C6" w:rsidR="002670CA" w:rsidRDefault="003F3EA0" w:rsidP="00AA0A8A">
      <w:r>
        <w:t xml:space="preserve">The Handover GET endpoints now return additional information about the Sign Off Type. For full details see the swagger page at </w:t>
      </w:r>
      <w:hyperlink w:history="1">
        <w:r w:rsidR="00C758E7" w:rsidRPr="0082296B">
          <w:rPr>
            <w:rStyle w:val="Hyperlink"/>
          </w:rPr>
          <w:t>https://{yourinstance}/swagger</w:t>
        </w:r>
      </w:hyperlink>
    </w:p>
    <w:p w14:paraId="31987D92" w14:textId="1D3F0A45" w:rsidR="002670CA" w:rsidRDefault="00FB484C" w:rsidP="002670CA">
      <w:pPr>
        <w:pStyle w:val="Woodsubhead1-bulletednumberteal"/>
      </w:pPr>
      <w:r>
        <w:t xml:space="preserve">App – New </w:t>
      </w:r>
      <w:r w:rsidR="00DB0088">
        <w:t>Navigation and Styling Improvements</w:t>
      </w:r>
    </w:p>
    <w:p w14:paraId="65D5C722" w14:textId="77777777" w:rsidR="002670CA" w:rsidRDefault="002670CA" w:rsidP="002670CA">
      <w:pPr>
        <w:jc w:val="center"/>
        <w:rPr>
          <w:b/>
        </w:rPr>
      </w:pPr>
      <w:r w:rsidRPr="008035A4">
        <w:rPr>
          <w:b/>
          <w:noProof/>
        </w:rPr>
        <w:drawing>
          <wp:inline distT="0" distB="0" distL="0" distR="0" wp14:anchorId="29F080F4" wp14:editId="3B1535DC">
            <wp:extent cx="1155115" cy="2581871"/>
            <wp:effectExtent l="19050" t="19050" r="2603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5115" cy="2581871"/>
                    </a:xfrm>
                    <a:prstGeom prst="rect">
                      <a:avLst/>
                    </a:prstGeom>
                    <a:ln>
                      <a:solidFill>
                        <a:schemeClr val="accent1"/>
                      </a:solidFill>
                    </a:ln>
                  </pic:spPr>
                </pic:pic>
              </a:graphicData>
            </a:graphic>
          </wp:inline>
        </w:drawing>
      </w:r>
    </w:p>
    <w:p w14:paraId="55455338" w14:textId="311477E6" w:rsidR="002670CA" w:rsidRDefault="00742644" w:rsidP="002670CA">
      <w:pPr>
        <w:pStyle w:val="Figure"/>
      </w:pPr>
      <w:r>
        <w:t>The new menu in the app</w:t>
      </w:r>
    </w:p>
    <w:p w14:paraId="5F966C73" w14:textId="216441D4" w:rsidR="002670CA" w:rsidRDefault="00C759A1" w:rsidP="002670CA">
      <w:r>
        <w:lastRenderedPageBreak/>
        <w:t xml:space="preserve">The </w:t>
      </w:r>
      <w:r w:rsidR="0080239F">
        <w:t>navigation</w:t>
      </w:r>
      <w:r>
        <w:t xml:space="preserve"> in the app has been restructured to </w:t>
      </w:r>
      <w:r w:rsidR="0080239F">
        <w:t xml:space="preserve">simplify it and make it cleaner and </w:t>
      </w:r>
      <w:r>
        <w:t xml:space="preserve">easier to navigate. </w:t>
      </w:r>
      <w:r w:rsidR="00C12C9F">
        <w:t xml:space="preserve">The menu now only has </w:t>
      </w:r>
      <w:r w:rsidR="00CA59A3">
        <w:t xml:space="preserve">links for the main items, such as Tag ITRs, or PLIs etc. </w:t>
      </w:r>
      <w:r w:rsidR="001B5978">
        <w:t xml:space="preserve">After tapping on one of these items, </w:t>
      </w:r>
      <w:r w:rsidR="00003144">
        <w:t xml:space="preserve">the related items will now show as tabs at the bottom of the screen. </w:t>
      </w:r>
    </w:p>
    <w:p w14:paraId="4E403561" w14:textId="77777777" w:rsidR="00FB5A6A" w:rsidRDefault="00FB5A6A" w:rsidP="00FB5A6A">
      <w:pPr>
        <w:jc w:val="center"/>
        <w:rPr>
          <w:b/>
        </w:rPr>
      </w:pPr>
      <w:r w:rsidRPr="008035A4">
        <w:rPr>
          <w:b/>
          <w:noProof/>
        </w:rPr>
        <w:drawing>
          <wp:inline distT="0" distB="0" distL="0" distR="0" wp14:anchorId="66A42BEB" wp14:editId="7A0B31F5">
            <wp:extent cx="1155115" cy="2261876"/>
            <wp:effectExtent l="19050" t="19050" r="2603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5115" cy="2261876"/>
                    </a:xfrm>
                    <a:prstGeom prst="rect">
                      <a:avLst/>
                    </a:prstGeom>
                    <a:ln>
                      <a:solidFill>
                        <a:schemeClr val="accent1"/>
                      </a:solidFill>
                    </a:ln>
                  </pic:spPr>
                </pic:pic>
              </a:graphicData>
            </a:graphic>
          </wp:inline>
        </w:drawing>
      </w:r>
    </w:p>
    <w:p w14:paraId="104CA009" w14:textId="505035F7" w:rsidR="00FB5A6A" w:rsidRDefault="00742644" w:rsidP="008B564A">
      <w:pPr>
        <w:pStyle w:val="Figure"/>
      </w:pPr>
      <w:r>
        <w:t xml:space="preserve">The </w:t>
      </w:r>
      <w:r w:rsidR="00F808AB">
        <w:t xml:space="preserve">Tag ITRs ‘My Documents’ screen showing the </w:t>
      </w:r>
      <w:r>
        <w:t xml:space="preserve">new tabs at the bottom </w:t>
      </w:r>
      <w:r w:rsidR="006D45DF">
        <w:t xml:space="preserve">of the screen </w:t>
      </w:r>
      <w:r w:rsidR="00F808AB">
        <w:t xml:space="preserve">for </w:t>
      </w:r>
      <w:r w:rsidR="006D45DF">
        <w:t>navigat</w:t>
      </w:r>
      <w:r w:rsidR="00F808AB">
        <w:t>ing</w:t>
      </w:r>
      <w:r w:rsidR="006D45DF">
        <w:t xml:space="preserve"> to other Tag ITR </w:t>
      </w:r>
      <w:proofErr w:type="gramStart"/>
      <w:r w:rsidR="006D45DF">
        <w:t>screens</w:t>
      </w:r>
      <w:proofErr w:type="gramEnd"/>
    </w:p>
    <w:p w14:paraId="734F8F7A" w14:textId="77777777" w:rsidR="00FB5A6A" w:rsidRDefault="00FB5A6A" w:rsidP="002670CA"/>
    <w:p w14:paraId="28CB6134" w14:textId="60A04829" w:rsidR="002670CA" w:rsidRDefault="00003144" w:rsidP="002670CA">
      <w:r>
        <w:t xml:space="preserve">For example, tapping on Tag ITRs in the menu, will display the ‘My Documents’ screen, with </w:t>
      </w:r>
      <w:r w:rsidR="00182946">
        <w:t xml:space="preserve">tabs at the </w:t>
      </w:r>
      <w:r w:rsidR="00F96C0A">
        <w:t xml:space="preserve">bottom </w:t>
      </w:r>
      <w:r w:rsidR="00182946">
        <w:t xml:space="preserve">to get to the </w:t>
      </w:r>
      <w:r w:rsidR="00EE036C">
        <w:t xml:space="preserve">other Tag ITR screens, such as </w:t>
      </w:r>
      <w:r w:rsidR="00182946">
        <w:t>‘Search Tag ITRs’, ‘Downloaded’ etc.</w:t>
      </w:r>
      <w:r w:rsidR="00EE036C">
        <w:t xml:space="preserve"> The </w:t>
      </w:r>
      <w:r w:rsidR="00422C15">
        <w:t>main menu remains accessible from the top left corner</w:t>
      </w:r>
      <w:r w:rsidR="005C51AB">
        <w:t xml:space="preserve"> on most screens</w:t>
      </w:r>
      <w:r w:rsidR="00422C15">
        <w:t>.</w:t>
      </w:r>
    </w:p>
    <w:p w14:paraId="7FFD2695" w14:textId="459929E0" w:rsidR="007877C4" w:rsidRDefault="00EF121D" w:rsidP="002670CA">
      <w:r>
        <w:t>Also included are</w:t>
      </w:r>
      <w:r w:rsidR="007877C4">
        <w:t xml:space="preserve"> some minor visual styling changes</w:t>
      </w:r>
      <w:r w:rsidR="00D71F2B">
        <w:t>, mostly around the layout of tasks in digital documents</w:t>
      </w:r>
      <w:r w:rsidR="00490813">
        <w:t>. These do not change the functionality but</w:t>
      </w:r>
      <w:r>
        <w:t xml:space="preserve"> give the app a </w:t>
      </w:r>
      <w:r w:rsidR="00EB3444">
        <w:t xml:space="preserve">neater, </w:t>
      </w:r>
      <w:r>
        <w:t>cleaner</w:t>
      </w:r>
      <w:r w:rsidR="00D71F2B">
        <w:t>,</w:t>
      </w:r>
      <w:r w:rsidR="00EB3444">
        <w:t xml:space="preserve"> </w:t>
      </w:r>
      <w:r w:rsidR="00D71F2B">
        <w:t xml:space="preserve">and more modern </w:t>
      </w:r>
      <w:r>
        <w:t>look.</w:t>
      </w:r>
    </w:p>
    <w:p w14:paraId="1D5CD12C" w14:textId="4895FABE" w:rsidR="002670CA" w:rsidRDefault="0040241C" w:rsidP="002670CA">
      <w:pPr>
        <w:pStyle w:val="Woodsubhead1-bulletednumberteal"/>
      </w:pPr>
      <w:r>
        <w:t xml:space="preserve">App - </w:t>
      </w:r>
      <w:r w:rsidR="000E2EB1">
        <w:t>Work Packs</w:t>
      </w:r>
    </w:p>
    <w:p w14:paraId="55246DDC" w14:textId="77777777" w:rsidR="002670CA" w:rsidRDefault="002670CA" w:rsidP="002670CA">
      <w:pPr>
        <w:jc w:val="center"/>
        <w:rPr>
          <w:b/>
        </w:rPr>
      </w:pPr>
      <w:r w:rsidRPr="008035A4">
        <w:rPr>
          <w:b/>
          <w:noProof/>
        </w:rPr>
        <w:drawing>
          <wp:inline distT="0" distB="0" distL="0" distR="0" wp14:anchorId="4CBBF285" wp14:editId="58BCA5B4">
            <wp:extent cx="1342281" cy="2633559"/>
            <wp:effectExtent l="19050" t="19050" r="1079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42281" cy="2633559"/>
                    </a:xfrm>
                    <a:prstGeom prst="rect">
                      <a:avLst/>
                    </a:prstGeom>
                    <a:ln>
                      <a:solidFill>
                        <a:schemeClr val="accent1"/>
                      </a:solidFill>
                    </a:ln>
                  </pic:spPr>
                </pic:pic>
              </a:graphicData>
            </a:graphic>
          </wp:inline>
        </w:drawing>
      </w:r>
    </w:p>
    <w:p w14:paraId="71977F70" w14:textId="054D2908" w:rsidR="002670CA" w:rsidRDefault="00C07AC1" w:rsidP="002670CA">
      <w:pPr>
        <w:pStyle w:val="Figure"/>
      </w:pPr>
      <w:r>
        <w:t>The Work Packs ‘My Documents’ screen</w:t>
      </w:r>
    </w:p>
    <w:p w14:paraId="0FB19C68" w14:textId="614103EC" w:rsidR="009D32DC" w:rsidRDefault="0040241C" w:rsidP="002670CA">
      <w:r>
        <w:t xml:space="preserve">Work Packs have now been added to the </w:t>
      </w:r>
      <w:r w:rsidR="00A061D3">
        <w:t xml:space="preserve">Companion App. </w:t>
      </w:r>
      <w:r w:rsidR="00AC7573">
        <w:t>To view Work Packs, tap on the menu icon at the top left, and tap ‘Work Packs</w:t>
      </w:r>
      <w:r w:rsidR="006925F4">
        <w:t>’</w:t>
      </w:r>
      <w:r w:rsidR="00AC7573">
        <w:t>.</w:t>
      </w:r>
      <w:r w:rsidR="006925F4">
        <w:t xml:space="preserve"> The ‘My Documents’ page will be displayed, listing any Work Packs that are currently assigned to you.</w:t>
      </w:r>
    </w:p>
    <w:p w14:paraId="5C00E8D1" w14:textId="0CC22928" w:rsidR="002670CA" w:rsidRDefault="00346EB8" w:rsidP="002670CA">
      <w:r>
        <w:t>Tap on any Work Pack to download and view it</w:t>
      </w:r>
      <w:r w:rsidR="009D32DC">
        <w:t>.</w:t>
      </w:r>
    </w:p>
    <w:p w14:paraId="09966DF6" w14:textId="77777777" w:rsidR="00595903" w:rsidRDefault="00595903" w:rsidP="00595903">
      <w:pPr>
        <w:jc w:val="center"/>
        <w:rPr>
          <w:b/>
        </w:rPr>
      </w:pPr>
      <w:r w:rsidRPr="008035A4">
        <w:rPr>
          <w:b/>
          <w:noProof/>
        </w:rPr>
        <w:lastRenderedPageBreak/>
        <w:drawing>
          <wp:inline distT="0" distB="0" distL="0" distR="0" wp14:anchorId="2E4B1E42" wp14:editId="17DC08F4">
            <wp:extent cx="1347373" cy="2633559"/>
            <wp:effectExtent l="19050" t="19050" r="2476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47373" cy="2633559"/>
                    </a:xfrm>
                    <a:prstGeom prst="rect">
                      <a:avLst/>
                    </a:prstGeom>
                    <a:ln>
                      <a:solidFill>
                        <a:schemeClr val="accent1"/>
                      </a:solidFill>
                    </a:ln>
                  </pic:spPr>
                </pic:pic>
              </a:graphicData>
            </a:graphic>
          </wp:inline>
        </w:drawing>
      </w:r>
    </w:p>
    <w:p w14:paraId="6B053860" w14:textId="347D35CD" w:rsidR="00595903" w:rsidRDefault="0037397A" w:rsidP="00C07AC1">
      <w:pPr>
        <w:pStyle w:val="Figure"/>
      </w:pPr>
      <w:r>
        <w:t>Viewing a Work Pack in the App</w:t>
      </w:r>
    </w:p>
    <w:p w14:paraId="4250BC0D" w14:textId="17DFC25E" w:rsidR="00595903" w:rsidRDefault="00593823" w:rsidP="00595903">
      <w:r>
        <w:t xml:space="preserve">On </w:t>
      </w:r>
      <w:r w:rsidR="00296E0E">
        <w:t xml:space="preserve">the View screen, details of the Work Pack can be seen, it can be re-assigned, and it can be signed off. </w:t>
      </w:r>
      <w:r w:rsidR="00A9348B">
        <w:t>Associated Attachments can be downloaded to the device by tapping the Attachments tab at the top. Punch List Items can also be raised and associated with the Work Pack, by tapping the PLI tab at the top.</w:t>
      </w:r>
    </w:p>
    <w:p w14:paraId="158AD191" w14:textId="0795F5EA" w:rsidR="00595903" w:rsidRDefault="00595903" w:rsidP="002670CA"/>
    <w:p w14:paraId="073752E9" w14:textId="77777777" w:rsidR="00595903" w:rsidRDefault="00595903" w:rsidP="00595903">
      <w:pPr>
        <w:jc w:val="center"/>
        <w:rPr>
          <w:b/>
        </w:rPr>
      </w:pPr>
      <w:r w:rsidRPr="008035A4">
        <w:rPr>
          <w:b/>
          <w:noProof/>
        </w:rPr>
        <w:drawing>
          <wp:inline distT="0" distB="0" distL="0" distR="0" wp14:anchorId="6648A78D" wp14:editId="7862E906">
            <wp:extent cx="1339837" cy="2633559"/>
            <wp:effectExtent l="19050" t="19050" r="13335"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39837" cy="2633559"/>
                    </a:xfrm>
                    <a:prstGeom prst="rect">
                      <a:avLst/>
                    </a:prstGeom>
                    <a:ln>
                      <a:solidFill>
                        <a:schemeClr val="accent1"/>
                      </a:solidFill>
                    </a:ln>
                  </pic:spPr>
                </pic:pic>
              </a:graphicData>
            </a:graphic>
          </wp:inline>
        </w:drawing>
      </w:r>
    </w:p>
    <w:p w14:paraId="70745FB0" w14:textId="246D77FC" w:rsidR="00595903" w:rsidRDefault="0056356A" w:rsidP="0056356A">
      <w:pPr>
        <w:pStyle w:val="Figure"/>
      </w:pPr>
      <w:r>
        <w:t>The Search Work Packs screen</w:t>
      </w:r>
    </w:p>
    <w:p w14:paraId="3B87DD7C" w14:textId="5BB49CBA" w:rsidR="00595903" w:rsidRDefault="007473F0" w:rsidP="00595903">
      <w:r>
        <w:t xml:space="preserve">To search all Work Packs, not just those that are assigned to you, tap on the </w:t>
      </w:r>
      <w:r w:rsidR="002C57D6">
        <w:t>‘</w:t>
      </w:r>
      <w:r>
        <w:t>Search</w:t>
      </w:r>
      <w:r w:rsidR="002C57D6">
        <w:t>’</w:t>
      </w:r>
      <w:r>
        <w:t xml:space="preserve"> tab at the bottom</w:t>
      </w:r>
      <w:r w:rsidR="00E40792">
        <w:t xml:space="preserve"> of most Work Pack screens. </w:t>
      </w:r>
      <w:r w:rsidR="0056356A">
        <w:t>Various search filters can be applied to the search results, and the results can be re-ordered by name, date etc.</w:t>
      </w:r>
    </w:p>
    <w:p w14:paraId="1F07BF01" w14:textId="08FB31F5" w:rsidR="00595903" w:rsidRDefault="00595903" w:rsidP="002670CA"/>
    <w:p w14:paraId="61D6341D" w14:textId="77777777" w:rsidR="00595903" w:rsidRDefault="00595903" w:rsidP="00595903">
      <w:pPr>
        <w:jc w:val="center"/>
        <w:rPr>
          <w:b/>
        </w:rPr>
      </w:pPr>
      <w:r w:rsidRPr="008035A4">
        <w:rPr>
          <w:b/>
          <w:noProof/>
        </w:rPr>
        <w:lastRenderedPageBreak/>
        <w:drawing>
          <wp:inline distT="0" distB="0" distL="0" distR="0" wp14:anchorId="541B33C7" wp14:editId="2602987F">
            <wp:extent cx="1326136" cy="2633559"/>
            <wp:effectExtent l="19050" t="19050" r="26670"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6136" cy="2633559"/>
                    </a:xfrm>
                    <a:prstGeom prst="rect">
                      <a:avLst/>
                    </a:prstGeom>
                    <a:ln>
                      <a:solidFill>
                        <a:schemeClr val="accent1"/>
                      </a:solidFill>
                    </a:ln>
                  </pic:spPr>
                </pic:pic>
              </a:graphicData>
            </a:graphic>
          </wp:inline>
        </w:drawing>
      </w:r>
    </w:p>
    <w:p w14:paraId="719A1553" w14:textId="30011A10" w:rsidR="00595903" w:rsidRDefault="00A16723" w:rsidP="00A16723">
      <w:pPr>
        <w:pStyle w:val="Figure"/>
      </w:pPr>
      <w:r>
        <w:t>The downloaded Work Packs screen</w:t>
      </w:r>
    </w:p>
    <w:p w14:paraId="7CADC62C" w14:textId="77CAE809" w:rsidR="002670CA" w:rsidRDefault="00743C8E" w:rsidP="00AA0A8A">
      <w:r>
        <w:t>To view all Work Packs that have been downloaded to the device, tap the ‘Downloaded’ tab,</w:t>
      </w:r>
      <w:r w:rsidR="002C57D6">
        <w:t xml:space="preserve"> shown</w:t>
      </w:r>
      <w:r>
        <w:t xml:space="preserve"> at the bottom of most Work Pack screens.</w:t>
      </w:r>
      <w:r w:rsidR="00876E96">
        <w:t xml:space="preserve"> </w:t>
      </w:r>
    </w:p>
    <w:p w14:paraId="1575B193" w14:textId="5B4AE5F4" w:rsidR="002670CA" w:rsidRDefault="0040241C" w:rsidP="002670CA">
      <w:pPr>
        <w:pStyle w:val="Woodsubhead1-bulletednumberteal"/>
      </w:pPr>
      <w:r>
        <w:t xml:space="preserve">App - </w:t>
      </w:r>
      <w:r w:rsidR="000E2EB1">
        <w:t>Job Cards</w:t>
      </w:r>
    </w:p>
    <w:p w14:paraId="7D6C763E" w14:textId="77777777" w:rsidR="0067729A" w:rsidRDefault="0067729A" w:rsidP="0067729A">
      <w:pPr>
        <w:jc w:val="center"/>
        <w:rPr>
          <w:b/>
        </w:rPr>
      </w:pPr>
      <w:r w:rsidRPr="008035A4">
        <w:rPr>
          <w:b/>
          <w:noProof/>
        </w:rPr>
        <w:drawing>
          <wp:inline distT="0" distB="0" distL="0" distR="0" wp14:anchorId="6AB23303" wp14:editId="2CFA51EC">
            <wp:extent cx="1332329" cy="2633559"/>
            <wp:effectExtent l="19050" t="19050" r="2032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2329" cy="2633559"/>
                    </a:xfrm>
                    <a:prstGeom prst="rect">
                      <a:avLst/>
                    </a:prstGeom>
                    <a:ln>
                      <a:solidFill>
                        <a:schemeClr val="accent1"/>
                      </a:solidFill>
                    </a:ln>
                  </pic:spPr>
                </pic:pic>
              </a:graphicData>
            </a:graphic>
          </wp:inline>
        </w:drawing>
      </w:r>
    </w:p>
    <w:p w14:paraId="45012A73" w14:textId="24963910" w:rsidR="0067729A" w:rsidRDefault="0067729A" w:rsidP="0067729A">
      <w:pPr>
        <w:pStyle w:val="Figure"/>
      </w:pPr>
      <w:r>
        <w:t>The Job Card ‘My Documents’ screen</w:t>
      </w:r>
    </w:p>
    <w:p w14:paraId="58C661CE" w14:textId="30AF6FBD" w:rsidR="0067729A" w:rsidRDefault="0067729A" w:rsidP="0067729A">
      <w:r>
        <w:t>Job Cards have now been added to the Companion App. To view Job Cards, tap on the menu icon at the top left, and tap ‘Job Cards’. The ‘My Documents’ page will be displayed, listing any Job Cards that are currently assigned to you.</w:t>
      </w:r>
    </w:p>
    <w:p w14:paraId="4DA3087B" w14:textId="6F36705B" w:rsidR="0067729A" w:rsidRDefault="0067729A" w:rsidP="0067729A">
      <w:r>
        <w:t>Tap on any Job Card to download and view it.</w:t>
      </w:r>
    </w:p>
    <w:p w14:paraId="02893F10" w14:textId="77777777" w:rsidR="0067729A" w:rsidRDefault="0067729A" w:rsidP="0067729A">
      <w:pPr>
        <w:jc w:val="center"/>
        <w:rPr>
          <w:b/>
        </w:rPr>
      </w:pPr>
      <w:r w:rsidRPr="008035A4">
        <w:rPr>
          <w:b/>
          <w:noProof/>
        </w:rPr>
        <w:lastRenderedPageBreak/>
        <w:drawing>
          <wp:inline distT="0" distB="0" distL="0" distR="0" wp14:anchorId="4FDA69B6" wp14:editId="2F423D5A">
            <wp:extent cx="1334851" cy="2633559"/>
            <wp:effectExtent l="19050" t="19050" r="1778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34851" cy="2633559"/>
                    </a:xfrm>
                    <a:prstGeom prst="rect">
                      <a:avLst/>
                    </a:prstGeom>
                    <a:ln>
                      <a:solidFill>
                        <a:schemeClr val="accent1"/>
                      </a:solidFill>
                    </a:ln>
                  </pic:spPr>
                </pic:pic>
              </a:graphicData>
            </a:graphic>
          </wp:inline>
        </w:drawing>
      </w:r>
    </w:p>
    <w:p w14:paraId="6644FD43" w14:textId="26B8EC35" w:rsidR="0067729A" w:rsidRDefault="0067729A" w:rsidP="007A3907">
      <w:pPr>
        <w:pStyle w:val="Figure"/>
      </w:pPr>
      <w:r>
        <w:t xml:space="preserve">Viewing </w:t>
      </w:r>
      <w:r w:rsidR="007452CE">
        <w:t xml:space="preserve">the Operations on a Job Card </w:t>
      </w:r>
      <w:r>
        <w:t>in the App</w:t>
      </w:r>
    </w:p>
    <w:p w14:paraId="7FB4D2DF" w14:textId="6BDD23AF" w:rsidR="0067729A" w:rsidRDefault="0067729A" w:rsidP="0067729A">
      <w:r>
        <w:t xml:space="preserve">On the View screen, details of the </w:t>
      </w:r>
      <w:r w:rsidR="0025636F">
        <w:t>Job Card</w:t>
      </w:r>
      <w:r>
        <w:t xml:space="preserve"> can be seen, it can be re-assigned, and it can be signed off. Associated Attachments can be downloaded to the device by tapping the Attachments tab at the top. </w:t>
      </w:r>
      <w:r w:rsidR="005C335C">
        <w:t>Associated Tag ITRs can also be viewed by tapping the Tag ITR</w:t>
      </w:r>
      <w:r>
        <w:t xml:space="preserve"> tab at the top.</w:t>
      </w:r>
    </w:p>
    <w:p w14:paraId="400D9A9D" w14:textId="77777777" w:rsidR="00705115" w:rsidRDefault="00705115" w:rsidP="00705115">
      <w:pPr>
        <w:jc w:val="center"/>
        <w:rPr>
          <w:b/>
        </w:rPr>
      </w:pPr>
      <w:r w:rsidRPr="008035A4">
        <w:rPr>
          <w:b/>
          <w:noProof/>
        </w:rPr>
        <w:drawing>
          <wp:inline distT="0" distB="0" distL="0" distR="0" wp14:anchorId="1B583247" wp14:editId="218D9E1E">
            <wp:extent cx="1334851" cy="2633559"/>
            <wp:effectExtent l="19050" t="19050" r="17780" b="14605"/>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34851" cy="2633559"/>
                    </a:xfrm>
                    <a:prstGeom prst="rect">
                      <a:avLst/>
                    </a:prstGeom>
                    <a:ln>
                      <a:solidFill>
                        <a:schemeClr val="accent1"/>
                      </a:solidFill>
                    </a:ln>
                  </pic:spPr>
                </pic:pic>
              </a:graphicData>
            </a:graphic>
          </wp:inline>
        </w:drawing>
      </w:r>
    </w:p>
    <w:p w14:paraId="64F16262" w14:textId="77777777" w:rsidR="00705115" w:rsidRDefault="00705115" w:rsidP="00F458EE">
      <w:pPr>
        <w:pStyle w:val="Figure"/>
      </w:pPr>
      <w:r>
        <w:t>Viewing the Operations on a Job Card in the App</w:t>
      </w:r>
    </w:p>
    <w:p w14:paraId="17EED27C" w14:textId="0D29B672" w:rsidR="00705115" w:rsidRDefault="00F458EE" w:rsidP="0067729A">
      <w:r>
        <w:t xml:space="preserve">To view associated Operations, tap the Operations tab. From here, the progress of the </w:t>
      </w:r>
      <w:proofErr w:type="gramStart"/>
      <w:r>
        <w:t>Operations</w:t>
      </w:r>
      <w:proofErr w:type="gramEnd"/>
      <w:r>
        <w:t xml:space="preserve"> can be updated and they can be signed off.</w:t>
      </w:r>
    </w:p>
    <w:p w14:paraId="570ABC8E" w14:textId="77777777" w:rsidR="0067729A" w:rsidRDefault="0067729A" w:rsidP="0067729A"/>
    <w:p w14:paraId="51F0840D" w14:textId="77777777" w:rsidR="0067729A" w:rsidRDefault="0067729A" w:rsidP="0067729A">
      <w:pPr>
        <w:jc w:val="center"/>
        <w:rPr>
          <w:b/>
        </w:rPr>
      </w:pPr>
      <w:r w:rsidRPr="008035A4">
        <w:rPr>
          <w:b/>
          <w:noProof/>
        </w:rPr>
        <w:lastRenderedPageBreak/>
        <w:drawing>
          <wp:inline distT="0" distB="0" distL="0" distR="0" wp14:anchorId="380F6947" wp14:editId="06071472">
            <wp:extent cx="1339837" cy="2618828"/>
            <wp:effectExtent l="19050" t="19050" r="1333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9837" cy="2618828"/>
                    </a:xfrm>
                    <a:prstGeom prst="rect">
                      <a:avLst/>
                    </a:prstGeom>
                    <a:ln>
                      <a:solidFill>
                        <a:schemeClr val="accent1"/>
                      </a:solidFill>
                    </a:ln>
                  </pic:spPr>
                </pic:pic>
              </a:graphicData>
            </a:graphic>
          </wp:inline>
        </w:drawing>
      </w:r>
    </w:p>
    <w:p w14:paraId="1306D937" w14:textId="0DFF29E2" w:rsidR="0067729A" w:rsidRDefault="0067729A" w:rsidP="0067729A">
      <w:pPr>
        <w:pStyle w:val="Figure"/>
      </w:pPr>
      <w:r>
        <w:t xml:space="preserve">The Search </w:t>
      </w:r>
      <w:r w:rsidR="00F458EE">
        <w:t>Job Cards</w:t>
      </w:r>
      <w:r>
        <w:t xml:space="preserve"> screen</w:t>
      </w:r>
    </w:p>
    <w:p w14:paraId="08C7DB71" w14:textId="636FC872" w:rsidR="0067729A" w:rsidRDefault="0067729A" w:rsidP="0067729A">
      <w:r>
        <w:t xml:space="preserve">To search all </w:t>
      </w:r>
      <w:r w:rsidR="00F458EE">
        <w:t>Job Cards</w:t>
      </w:r>
      <w:r>
        <w:t xml:space="preserve">, not just those that are assigned to you, tap on the ‘Search’ tab at the bottom of most </w:t>
      </w:r>
      <w:r w:rsidR="00F458EE">
        <w:t>Job Card</w:t>
      </w:r>
      <w:r>
        <w:t xml:space="preserve"> screens. Various search filters can be applied to the search results, and the results can be re-ordered by name, date etc.</w:t>
      </w:r>
    </w:p>
    <w:p w14:paraId="763A23F6" w14:textId="77777777" w:rsidR="0067729A" w:rsidRDefault="0067729A" w:rsidP="0067729A"/>
    <w:p w14:paraId="2F829120" w14:textId="77777777" w:rsidR="0067729A" w:rsidRDefault="0067729A" w:rsidP="0067729A">
      <w:pPr>
        <w:jc w:val="center"/>
        <w:rPr>
          <w:b/>
        </w:rPr>
      </w:pPr>
      <w:r w:rsidRPr="008035A4">
        <w:rPr>
          <w:b/>
          <w:noProof/>
        </w:rPr>
        <w:drawing>
          <wp:inline distT="0" distB="0" distL="0" distR="0" wp14:anchorId="2A21FACD" wp14:editId="6E53C5E2">
            <wp:extent cx="1326136" cy="2592048"/>
            <wp:effectExtent l="19050" t="19050" r="2667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6136" cy="2592048"/>
                    </a:xfrm>
                    <a:prstGeom prst="rect">
                      <a:avLst/>
                    </a:prstGeom>
                    <a:ln>
                      <a:solidFill>
                        <a:schemeClr val="accent1"/>
                      </a:solidFill>
                    </a:ln>
                  </pic:spPr>
                </pic:pic>
              </a:graphicData>
            </a:graphic>
          </wp:inline>
        </w:drawing>
      </w:r>
    </w:p>
    <w:p w14:paraId="3F063CBC" w14:textId="7F407D54" w:rsidR="0067729A" w:rsidRDefault="0067729A" w:rsidP="0067729A">
      <w:pPr>
        <w:pStyle w:val="Figure"/>
      </w:pPr>
      <w:r>
        <w:t xml:space="preserve">The downloaded </w:t>
      </w:r>
      <w:r w:rsidR="00F458EE">
        <w:t>Job Cards</w:t>
      </w:r>
      <w:r>
        <w:t xml:space="preserve"> screen</w:t>
      </w:r>
    </w:p>
    <w:p w14:paraId="21FEC2BC" w14:textId="419D1DF9" w:rsidR="002670CA" w:rsidRDefault="0067729A" w:rsidP="002670CA">
      <w:r>
        <w:t xml:space="preserve">To view all </w:t>
      </w:r>
      <w:r w:rsidR="00F458EE">
        <w:t>Job Cards</w:t>
      </w:r>
      <w:r>
        <w:t xml:space="preserve"> that have been downloaded to the device, tap the ‘Downloaded’ tab, shown at the bottom of most </w:t>
      </w:r>
      <w:r w:rsidR="00F458EE">
        <w:t>Job Card</w:t>
      </w:r>
      <w:r>
        <w:t xml:space="preserve"> screens. </w:t>
      </w:r>
    </w:p>
    <w:p w14:paraId="4581751F" w14:textId="63649E06" w:rsidR="002670CA" w:rsidRDefault="0040241C" w:rsidP="002670CA">
      <w:pPr>
        <w:pStyle w:val="Woodsubhead1-bulletednumberteal"/>
      </w:pPr>
      <w:r>
        <w:t xml:space="preserve">App - </w:t>
      </w:r>
      <w:r w:rsidR="00513987">
        <w:t>Filtered Lists</w:t>
      </w:r>
      <w:r w:rsidR="00415B46">
        <w:t xml:space="preserve"> and Offline Lists</w:t>
      </w:r>
    </w:p>
    <w:p w14:paraId="12770367" w14:textId="7EB35CBF" w:rsidR="002670CA" w:rsidRDefault="002670CA" w:rsidP="002670CA">
      <w:pPr>
        <w:rPr>
          <w:b/>
        </w:rPr>
      </w:pPr>
    </w:p>
    <w:p w14:paraId="7ACA316C" w14:textId="77777777" w:rsidR="002670CA" w:rsidRDefault="002670CA" w:rsidP="002670CA">
      <w:pPr>
        <w:jc w:val="center"/>
        <w:rPr>
          <w:b/>
        </w:rPr>
      </w:pPr>
      <w:r w:rsidRPr="008035A4">
        <w:rPr>
          <w:b/>
          <w:noProof/>
        </w:rPr>
        <w:lastRenderedPageBreak/>
        <w:drawing>
          <wp:inline distT="0" distB="0" distL="0" distR="0" wp14:anchorId="19E681C9" wp14:editId="446817D0">
            <wp:extent cx="1387102" cy="2633559"/>
            <wp:effectExtent l="19050" t="19050" r="2286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87102" cy="2633559"/>
                    </a:xfrm>
                    <a:prstGeom prst="rect">
                      <a:avLst/>
                    </a:prstGeom>
                    <a:ln>
                      <a:solidFill>
                        <a:schemeClr val="accent1"/>
                      </a:solidFill>
                    </a:ln>
                  </pic:spPr>
                </pic:pic>
              </a:graphicData>
            </a:graphic>
          </wp:inline>
        </w:drawing>
      </w:r>
    </w:p>
    <w:p w14:paraId="39D7067A" w14:textId="3A8BCE88" w:rsidR="002670CA" w:rsidRDefault="00DD25CD" w:rsidP="002670CA">
      <w:pPr>
        <w:pStyle w:val="Figure"/>
      </w:pPr>
      <w:r>
        <w:t xml:space="preserve">The Accepted By field showing only Authorised Persons that are allowed to make this sign </w:t>
      </w:r>
      <w:proofErr w:type="gramStart"/>
      <w:r>
        <w:t>off</w:t>
      </w:r>
      <w:proofErr w:type="gramEnd"/>
      <w:r w:rsidR="002670CA">
        <w:t xml:space="preserve"> </w:t>
      </w:r>
    </w:p>
    <w:p w14:paraId="4DC6A893" w14:textId="0E83F147" w:rsidR="00020B16" w:rsidRDefault="00020B16" w:rsidP="002670CA">
      <w:r>
        <w:t xml:space="preserve">Previously the Authorised Person </w:t>
      </w:r>
      <w:r w:rsidR="00591CC2">
        <w:t>fields</w:t>
      </w:r>
      <w:r>
        <w:t xml:space="preserve"> listed all Authorised Persons</w:t>
      </w:r>
      <w:r w:rsidR="00726B4E">
        <w:t xml:space="preserve">. This meant it was possible to select someone who did not have the appropriate permissions to sign off the selected item. This would be identified when syncing or uploading the item, </w:t>
      </w:r>
      <w:r w:rsidR="00061632">
        <w:t>and the details would have to be changed before it would sync successfully.</w:t>
      </w:r>
    </w:p>
    <w:p w14:paraId="5DD0E2A3" w14:textId="55458F9E" w:rsidR="000E2EB1" w:rsidRDefault="00C84570" w:rsidP="002670CA">
      <w:r>
        <w:t>Th</w:t>
      </w:r>
      <w:r w:rsidR="00061632">
        <w:t xml:space="preserve">is has been changed so that the </w:t>
      </w:r>
      <w:r>
        <w:t xml:space="preserve">drop downs now only list Authorised Persons that have the appropriate permissions to perform the sign off. </w:t>
      </w:r>
      <w:r w:rsidR="00061632">
        <w:t>This makes for a smoother sign off and upload experience.</w:t>
      </w:r>
      <w:r w:rsidR="00E45968">
        <w:t xml:space="preserve"> </w:t>
      </w:r>
    </w:p>
    <w:p w14:paraId="0BF0DDDB" w14:textId="6DA0638F" w:rsidR="00023390" w:rsidRDefault="00023390" w:rsidP="00023390">
      <w:pPr>
        <w:pStyle w:val="WoodBody"/>
      </w:pPr>
      <w:r>
        <w:t>In addition</w:t>
      </w:r>
      <w:r w:rsidR="00415B46">
        <w:t>,</w:t>
      </w:r>
      <w:r w:rsidR="00DD6785">
        <w:t xml:space="preserve"> many of the fields needed when creating a Punch List Item are now</w:t>
      </w:r>
      <w:r w:rsidR="00AA3269">
        <w:t xml:space="preserve"> populated even if the device is offline</w:t>
      </w:r>
      <w:r w:rsidR="009C2311">
        <w:t>. This m</w:t>
      </w:r>
      <w:r w:rsidR="00797B50">
        <w:t>ean</w:t>
      </w:r>
      <w:r w:rsidR="009C2311">
        <w:t xml:space="preserve">s </w:t>
      </w:r>
      <w:r w:rsidR="00797B50">
        <w:t>that PLIs can be created more easily without internet access, and then synced later.</w:t>
      </w:r>
    </w:p>
    <w:p w14:paraId="417071BF" w14:textId="77777777" w:rsidR="00AA0A8A" w:rsidRPr="001670BF" w:rsidRDefault="00AA0A8A" w:rsidP="0040241C">
      <w:pPr>
        <w:pStyle w:val="Woodsubhead1-bulletednumberteal"/>
        <w:numPr>
          <w:ilvl w:val="0"/>
          <w:numId w:val="0"/>
        </w:numPr>
      </w:pPr>
    </w:p>
    <w:sectPr w:rsidR="00AA0A8A" w:rsidRPr="001670BF" w:rsidSect="00BE24DC">
      <w:headerReference w:type="even" r:id="rId47"/>
      <w:headerReference w:type="default" r:id="rId48"/>
      <w:footerReference w:type="even" r:id="rId49"/>
      <w:footerReference w:type="default" r:id="rId50"/>
      <w:headerReference w:type="first" r:id="rId51"/>
      <w:footerReference w:type="first" r:id="rId52"/>
      <w:pgSz w:w="11907" w:h="16839" w:code="9"/>
      <w:pgMar w:top="1985" w:right="851" w:bottom="567" w:left="851" w:header="1985"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5681D" w14:textId="77777777" w:rsidR="00CB37EB" w:rsidRDefault="00CB37EB" w:rsidP="002C6747">
      <w:pPr>
        <w:spacing w:after="0"/>
      </w:pPr>
      <w:r>
        <w:separator/>
      </w:r>
    </w:p>
  </w:endnote>
  <w:endnote w:type="continuationSeparator" w:id="0">
    <w:p w14:paraId="43A50ED3" w14:textId="77777777" w:rsidR="00CB37EB" w:rsidRDefault="00CB37EB" w:rsidP="002C6747">
      <w:pPr>
        <w:spacing w:after="0"/>
      </w:pPr>
      <w:r>
        <w:continuationSeparator/>
      </w:r>
    </w:p>
  </w:endnote>
  <w:endnote w:type="continuationNotice" w:id="1">
    <w:p w14:paraId="76088ABB" w14:textId="77777777" w:rsidR="007358AB" w:rsidRDefault="007358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4029" w14:textId="77777777" w:rsidR="00913197" w:rsidRDefault="00913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5729" w14:textId="03E0BC2F" w:rsidR="00AE1365" w:rsidRPr="00E630FD" w:rsidRDefault="007F7CC5" w:rsidP="0081736A">
    <w:pPr>
      <w:pStyle w:val="WoodBody"/>
      <w:spacing w:before="360" w:after="0"/>
    </w:pPr>
    <w:r w:rsidRPr="0081736A">
      <w:rPr>
        <w:rStyle w:val="WoodFooterChar"/>
      </w:rPr>
      <w:fldChar w:fldCharType="begin"/>
    </w:r>
    <w:r w:rsidRPr="0081736A">
      <w:rPr>
        <w:rStyle w:val="WoodFooterChar"/>
      </w:rPr>
      <w:instrText xml:space="preserve"> PAGE  \* Arabic  \* MERGEFORMAT </w:instrText>
    </w:r>
    <w:r w:rsidRPr="0081736A">
      <w:rPr>
        <w:rStyle w:val="WoodFooterChar"/>
      </w:rPr>
      <w:fldChar w:fldCharType="separate"/>
    </w:r>
    <w:r w:rsidR="001F0274" w:rsidRPr="0081736A">
      <w:rPr>
        <w:rStyle w:val="WoodFooterChar"/>
      </w:rPr>
      <w:t>2</w:t>
    </w:r>
    <w:r w:rsidRPr="0081736A">
      <w:rPr>
        <w:rStyle w:val="WoodFooterChar"/>
      </w:rPr>
      <w:fldChar w:fldCharType="end"/>
    </w:r>
    <w:r w:rsidR="0081736A">
      <w:tab/>
    </w:r>
    <w:proofErr w:type="spellStart"/>
    <w:r w:rsidR="005B1185">
      <w:rPr>
        <w:rStyle w:val="WoodFooterChar"/>
      </w:rPr>
      <w:t>GoTechnology</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A07B" w14:textId="77777777" w:rsidR="00081211" w:rsidRDefault="00081211" w:rsidP="00E34C8C">
    <w:pPr>
      <w:pStyle w:val="Footer"/>
      <w:tabs>
        <w:tab w:val="clear" w:pos="4680"/>
        <w:tab w:val="center" w:pos="851"/>
      </w:tabs>
      <w:jc w:val="both"/>
    </w:pPr>
    <w:r>
      <w:rPr>
        <w:noProof/>
      </w:rPr>
      <w:drawing>
        <wp:anchor distT="0" distB="0" distL="114300" distR="114300" simplePos="0" relativeHeight="251658241" behindDoc="0" locked="0" layoutInCell="1" allowOverlap="1" wp14:anchorId="1E9E60A1" wp14:editId="3CEDC905">
          <wp:simplePos x="0" y="0"/>
          <wp:positionH relativeFrom="margin">
            <wp:posOffset>5046980</wp:posOffset>
          </wp:positionH>
          <wp:positionV relativeFrom="paragraph">
            <wp:posOffset>-444682</wp:posOffset>
          </wp:positionV>
          <wp:extent cx="1969770" cy="977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819"/>
                  <a:stretch/>
                </pic:blipFill>
                <pic:spPr bwMode="auto">
                  <a:xfrm>
                    <a:off x="0" y="0"/>
                    <a:ext cx="196977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48063" w14:textId="77777777" w:rsidR="00081211" w:rsidRDefault="00081211" w:rsidP="00E34C8C">
    <w:pPr>
      <w:pStyle w:val="Footer"/>
      <w:tabs>
        <w:tab w:val="clear" w:pos="4680"/>
        <w:tab w:val="center" w:pos="851"/>
      </w:tabs>
      <w:jc w:val="both"/>
    </w:pPr>
  </w:p>
  <w:p w14:paraId="06FE3521" w14:textId="77777777" w:rsidR="00081211" w:rsidRDefault="00081211" w:rsidP="00E34C8C">
    <w:pPr>
      <w:pStyle w:val="Footer"/>
      <w:tabs>
        <w:tab w:val="clear" w:pos="4680"/>
        <w:tab w:val="center" w:pos="851"/>
      </w:tabs>
      <w:jc w:val="both"/>
    </w:pPr>
  </w:p>
  <w:p w14:paraId="6148DA53" w14:textId="77777777" w:rsidR="00081211" w:rsidRDefault="00081211" w:rsidP="00E34C8C">
    <w:pPr>
      <w:pStyle w:val="Footer"/>
      <w:tabs>
        <w:tab w:val="clear" w:pos="4680"/>
        <w:tab w:val="center" w:pos="851"/>
      </w:tabs>
      <w:jc w:val="both"/>
    </w:pPr>
  </w:p>
  <w:p w14:paraId="42EC89DA" w14:textId="77777777" w:rsidR="00081211" w:rsidRDefault="00081211" w:rsidP="00E34C8C">
    <w:pPr>
      <w:pStyle w:val="Footer"/>
      <w:tabs>
        <w:tab w:val="clear" w:pos="4680"/>
        <w:tab w:val="center" w:pos="851"/>
      </w:tabs>
      <w:jc w:val="both"/>
    </w:pPr>
  </w:p>
  <w:p w14:paraId="07715906" w14:textId="77777777" w:rsidR="00CB61A5" w:rsidRPr="00E34C8C" w:rsidRDefault="00E34C8C" w:rsidP="00E34C8C">
    <w:pPr>
      <w:pStyle w:val="Footer"/>
      <w:tabs>
        <w:tab w:val="clear" w:pos="4680"/>
        <w:tab w:val="center" w:pos="851"/>
      </w:tabs>
      <w:jc w:val="both"/>
    </w:pP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55FC7" w14:textId="77777777" w:rsidR="00CB37EB" w:rsidRDefault="00CB37EB" w:rsidP="002C6747">
      <w:pPr>
        <w:spacing w:after="0"/>
      </w:pPr>
      <w:r>
        <w:separator/>
      </w:r>
    </w:p>
  </w:footnote>
  <w:footnote w:type="continuationSeparator" w:id="0">
    <w:p w14:paraId="420D3646" w14:textId="77777777" w:rsidR="00CB37EB" w:rsidRDefault="00CB37EB" w:rsidP="002C6747">
      <w:pPr>
        <w:spacing w:after="0"/>
      </w:pPr>
      <w:r>
        <w:continuationSeparator/>
      </w:r>
    </w:p>
  </w:footnote>
  <w:footnote w:type="continuationNotice" w:id="1">
    <w:p w14:paraId="30FF9C2F" w14:textId="77777777" w:rsidR="007358AB" w:rsidRDefault="007358A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E158" w14:textId="77777777" w:rsidR="00913197" w:rsidRDefault="009131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3A9F" w14:textId="77777777" w:rsidR="00255FB1" w:rsidRDefault="001F0274" w:rsidP="00535582">
    <w:pPr>
      <w:pStyle w:val="Header"/>
      <w:tabs>
        <w:tab w:val="clear" w:pos="4680"/>
        <w:tab w:val="clear" w:pos="9360"/>
      </w:tabs>
    </w:pPr>
    <w:r>
      <w:rPr>
        <w:noProof/>
      </w:rPr>
      <w:drawing>
        <wp:anchor distT="0" distB="0" distL="114300" distR="114300" simplePos="0" relativeHeight="251658240" behindDoc="1" locked="0" layoutInCell="1" allowOverlap="1" wp14:anchorId="02445E55" wp14:editId="13E3A0D9">
          <wp:simplePos x="0" y="0"/>
          <wp:positionH relativeFrom="margin">
            <wp:posOffset>5033010</wp:posOffset>
          </wp:positionH>
          <wp:positionV relativeFrom="margin">
            <wp:posOffset>-1412240</wp:posOffset>
          </wp:positionV>
          <wp:extent cx="1969770" cy="977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819"/>
                  <a:stretch/>
                </pic:blipFill>
                <pic:spPr bwMode="auto">
                  <a:xfrm>
                    <a:off x="0" y="0"/>
                    <a:ext cx="196977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4A18" w14:textId="7504D514" w:rsidR="002C3373" w:rsidRDefault="002C3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631FF"/>
    <w:multiLevelType w:val="hybridMultilevel"/>
    <w:tmpl w:val="5C3AA5AA"/>
    <w:lvl w:ilvl="0" w:tplc="21FAB60A">
      <w:start w:val="1"/>
      <w:numFmt w:val="decimal"/>
      <w:pStyle w:val="Numberedbullet"/>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 w15:restartNumberingAfterBreak="0">
    <w:nsid w:val="13166A09"/>
    <w:multiLevelType w:val="hybridMultilevel"/>
    <w:tmpl w:val="56B8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77C4E"/>
    <w:multiLevelType w:val="hybridMultilevel"/>
    <w:tmpl w:val="871CB412"/>
    <w:lvl w:ilvl="0" w:tplc="263AFA1E">
      <w:start w:val="1"/>
      <w:numFmt w:val="decimal"/>
      <w:pStyle w:val="Figure"/>
      <w:lvlText w:val="Figur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B887857"/>
    <w:multiLevelType w:val="hybridMultilevel"/>
    <w:tmpl w:val="F1CC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660D2C"/>
    <w:multiLevelType w:val="hybridMultilevel"/>
    <w:tmpl w:val="22AC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479DE"/>
    <w:multiLevelType w:val="hybridMultilevel"/>
    <w:tmpl w:val="F4FA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32CD2"/>
    <w:multiLevelType w:val="hybridMultilevel"/>
    <w:tmpl w:val="4418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3C7E23"/>
    <w:multiLevelType w:val="hybridMultilevel"/>
    <w:tmpl w:val="9BD8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9A1959"/>
    <w:multiLevelType w:val="hybridMultilevel"/>
    <w:tmpl w:val="497C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50762"/>
    <w:multiLevelType w:val="hybridMultilevel"/>
    <w:tmpl w:val="C9B4A924"/>
    <w:lvl w:ilvl="0" w:tplc="08090001">
      <w:start w:val="1"/>
      <w:numFmt w:val="bullet"/>
      <w:lvlText w:val=""/>
      <w:lvlJc w:val="left"/>
      <w:pPr>
        <w:ind w:left="720" w:hanging="360"/>
      </w:pPr>
      <w:rPr>
        <w:rFonts w:ascii="Symbol" w:hAnsi="Symbol" w:hint="default"/>
        <w:b/>
        <w:i w:val="0"/>
        <w:color w:val="A7AFB5" w:themeColor="accent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0777F3"/>
    <w:multiLevelType w:val="multilevel"/>
    <w:tmpl w:val="238C000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14D2CB5"/>
    <w:multiLevelType w:val="hybridMultilevel"/>
    <w:tmpl w:val="764244A0"/>
    <w:lvl w:ilvl="0" w:tplc="1FA0BF2C">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90512"/>
    <w:multiLevelType w:val="hybridMultilevel"/>
    <w:tmpl w:val="5D32C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F111BE"/>
    <w:multiLevelType w:val="hybridMultilevel"/>
    <w:tmpl w:val="B4B4FBFE"/>
    <w:lvl w:ilvl="0" w:tplc="9B98B02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12592A"/>
    <w:multiLevelType w:val="hybridMultilevel"/>
    <w:tmpl w:val="F044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471276"/>
    <w:multiLevelType w:val="hybridMultilevel"/>
    <w:tmpl w:val="C1521B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587D50"/>
    <w:multiLevelType w:val="hybridMultilevel"/>
    <w:tmpl w:val="79A8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CF4021"/>
    <w:multiLevelType w:val="hybridMultilevel"/>
    <w:tmpl w:val="DB62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C81B5E"/>
    <w:multiLevelType w:val="hybridMultilevel"/>
    <w:tmpl w:val="4028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F46B4D"/>
    <w:multiLevelType w:val="hybridMultilevel"/>
    <w:tmpl w:val="803C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41385B"/>
    <w:multiLevelType w:val="hybridMultilevel"/>
    <w:tmpl w:val="4B30CD18"/>
    <w:lvl w:ilvl="0" w:tplc="DEC60DE8">
      <w:start w:val="1"/>
      <w:numFmt w:val="decimal"/>
      <w:pStyle w:val="Woodsubhead1-bulletednumberte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6205721">
    <w:abstractNumId w:val="7"/>
  </w:num>
  <w:num w:numId="2" w16cid:durableId="633557337">
    <w:abstractNumId w:val="15"/>
  </w:num>
  <w:num w:numId="3" w16cid:durableId="276252259">
    <w:abstractNumId w:val="11"/>
  </w:num>
  <w:num w:numId="4" w16cid:durableId="1504271967">
    <w:abstractNumId w:val="12"/>
  </w:num>
  <w:num w:numId="5" w16cid:durableId="1274439181">
    <w:abstractNumId w:val="20"/>
  </w:num>
  <w:num w:numId="6" w16cid:durableId="2048749404">
    <w:abstractNumId w:val="13"/>
  </w:num>
  <w:num w:numId="7" w16cid:durableId="1265455243">
    <w:abstractNumId w:val="6"/>
  </w:num>
  <w:num w:numId="8" w16cid:durableId="1465848567">
    <w:abstractNumId w:val="14"/>
  </w:num>
  <w:num w:numId="9" w16cid:durableId="854073184">
    <w:abstractNumId w:val="0"/>
  </w:num>
  <w:num w:numId="10" w16cid:durableId="1653212836">
    <w:abstractNumId w:val="17"/>
  </w:num>
  <w:num w:numId="11" w16cid:durableId="883757627">
    <w:abstractNumId w:val="5"/>
  </w:num>
  <w:num w:numId="12" w16cid:durableId="1117915064">
    <w:abstractNumId w:val="19"/>
  </w:num>
  <w:num w:numId="13" w16cid:durableId="1901748425">
    <w:abstractNumId w:val="1"/>
  </w:num>
  <w:num w:numId="14" w16cid:durableId="1210414510">
    <w:abstractNumId w:val="9"/>
  </w:num>
  <w:num w:numId="15" w16cid:durableId="1229999331">
    <w:abstractNumId w:val="4"/>
  </w:num>
  <w:num w:numId="16" w16cid:durableId="230628571">
    <w:abstractNumId w:val="3"/>
  </w:num>
  <w:num w:numId="17" w16cid:durableId="1118570672">
    <w:abstractNumId w:val="16"/>
  </w:num>
  <w:num w:numId="18" w16cid:durableId="484512388">
    <w:abstractNumId w:val="18"/>
  </w:num>
  <w:num w:numId="19" w16cid:durableId="480804600">
    <w:abstractNumId w:val="10"/>
  </w:num>
  <w:num w:numId="20" w16cid:durableId="30112086">
    <w:abstractNumId w:val="2"/>
  </w:num>
  <w:num w:numId="21" w16cid:durableId="450981179">
    <w:abstractNumId w:val="8"/>
  </w:num>
  <w:num w:numId="22" w16cid:durableId="1275401701">
    <w:abstractNumId w:val="2"/>
    <w:lvlOverride w:ilvl="0">
      <w:startOverride w:val="1"/>
    </w:lvlOverride>
  </w:num>
  <w:num w:numId="23" w16cid:durableId="1344429323">
    <w:abstractNumId w:val="2"/>
    <w:lvlOverride w:ilvl="0">
      <w:startOverride w:val="1"/>
    </w:lvlOverride>
  </w:num>
  <w:num w:numId="24" w16cid:durableId="1576669986">
    <w:abstractNumId w:val="2"/>
    <w:lvlOverride w:ilvl="0">
      <w:startOverride w:val="1"/>
    </w:lvlOverride>
  </w:num>
  <w:num w:numId="25" w16cid:durableId="390156666">
    <w:abstractNumId w:val="2"/>
    <w:lvlOverride w:ilvl="0">
      <w:startOverride w:val="1"/>
    </w:lvlOverride>
  </w:num>
  <w:num w:numId="26" w16cid:durableId="164979933">
    <w:abstractNumId w:val="2"/>
    <w:lvlOverride w:ilvl="0">
      <w:startOverride w:val="1"/>
    </w:lvlOverride>
  </w:num>
  <w:num w:numId="27" w16cid:durableId="621378329">
    <w:abstractNumId w:val="2"/>
    <w:lvlOverride w:ilvl="0">
      <w:startOverride w:val="1"/>
    </w:lvlOverride>
  </w:num>
  <w:num w:numId="28" w16cid:durableId="490609055">
    <w:abstractNumId w:val="2"/>
    <w:lvlOverride w:ilvl="0">
      <w:startOverride w:val="1"/>
    </w:lvlOverride>
  </w:num>
  <w:num w:numId="29" w16cid:durableId="116261510">
    <w:abstractNumId w:val="2"/>
    <w:lvlOverride w:ilvl="0">
      <w:startOverride w:val="1"/>
    </w:lvlOverride>
  </w:num>
  <w:num w:numId="30" w16cid:durableId="1658074963">
    <w:abstractNumId w:val="2"/>
    <w:lvlOverride w:ilvl="0">
      <w:startOverride w:val="1"/>
    </w:lvlOverride>
  </w:num>
  <w:num w:numId="31" w16cid:durableId="934095880">
    <w:abstractNumId w:val="2"/>
    <w:lvlOverride w:ilvl="0">
      <w:startOverride w:val="1"/>
    </w:lvlOverride>
  </w:num>
  <w:num w:numId="32" w16cid:durableId="328021038">
    <w:abstractNumId w:val="2"/>
  </w:num>
  <w:num w:numId="33" w16cid:durableId="1553419152">
    <w:abstractNumId w:val="2"/>
    <w:lvlOverride w:ilvl="0">
      <w:startOverride w:val="1"/>
    </w:lvlOverride>
  </w:num>
  <w:num w:numId="34" w16cid:durableId="187261014">
    <w:abstractNumId w:val="2"/>
    <w:lvlOverride w:ilvl="0">
      <w:startOverride w:val="1"/>
    </w:lvlOverride>
  </w:num>
  <w:num w:numId="35" w16cid:durableId="1658308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284"/>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0A8A"/>
    <w:rsid w:val="00003144"/>
    <w:rsid w:val="00020B16"/>
    <w:rsid w:val="000230C5"/>
    <w:rsid w:val="00023390"/>
    <w:rsid w:val="00024C78"/>
    <w:rsid w:val="00027606"/>
    <w:rsid w:val="00030A59"/>
    <w:rsid w:val="000422AB"/>
    <w:rsid w:val="00061632"/>
    <w:rsid w:val="000619F5"/>
    <w:rsid w:val="00067FFD"/>
    <w:rsid w:val="00071890"/>
    <w:rsid w:val="00073AA6"/>
    <w:rsid w:val="00077054"/>
    <w:rsid w:val="00081211"/>
    <w:rsid w:val="000825A9"/>
    <w:rsid w:val="0008764E"/>
    <w:rsid w:val="00094E29"/>
    <w:rsid w:val="00097932"/>
    <w:rsid w:val="000A49AB"/>
    <w:rsid w:val="000A731F"/>
    <w:rsid w:val="000B03C8"/>
    <w:rsid w:val="000B3FDC"/>
    <w:rsid w:val="000B58FB"/>
    <w:rsid w:val="000B785E"/>
    <w:rsid w:val="000C2B8A"/>
    <w:rsid w:val="000C4694"/>
    <w:rsid w:val="000D66D1"/>
    <w:rsid w:val="000D7DE4"/>
    <w:rsid w:val="000E00A6"/>
    <w:rsid w:val="000E2EB1"/>
    <w:rsid w:val="000E4D0E"/>
    <w:rsid w:val="000F08DD"/>
    <w:rsid w:val="001038D6"/>
    <w:rsid w:val="00105CBE"/>
    <w:rsid w:val="00120480"/>
    <w:rsid w:val="00124450"/>
    <w:rsid w:val="0013021F"/>
    <w:rsid w:val="00131A4D"/>
    <w:rsid w:val="00150C00"/>
    <w:rsid w:val="00160589"/>
    <w:rsid w:val="001670BF"/>
    <w:rsid w:val="00172896"/>
    <w:rsid w:val="00172A07"/>
    <w:rsid w:val="001746D1"/>
    <w:rsid w:val="001752BF"/>
    <w:rsid w:val="0017571F"/>
    <w:rsid w:val="00180FC4"/>
    <w:rsid w:val="001823B9"/>
    <w:rsid w:val="00182946"/>
    <w:rsid w:val="00192D45"/>
    <w:rsid w:val="001A0135"/>
    <w:rsid w:val="001A0876"/>
    <w:rsid w:val="001A19E8"/>
    <w:rsid w:val="001A290C"/>
    <w:rsid w:val="001A2AE7"/>
    <w:rsid w:val="001B5978"/>
    <w:rsid w:val="001C15E6"/>
    <w:rsid w:val="001C661C"/>
    <w:rsid w:val="001D59BC"/>
    <w:rsid w:val="001E4378"/>
    <w:rsid w:val="001F0274"/>
    <w:rsid w:val="001F2BE8"/>
    <w:rsid w:val="001F56D8"/>
    <w:rsid w:val="00206827"/>
    <w:rsid w:val="002135E0"/>
    <w:rsid w:val="0021406B"/>
    <w:rsid w:val="00217F5F"/>
    <w:rsid w:val="00220654"/>
    <w:rsid w:val="0022105D"/>
    <w:rsid w:val="002252BC"/>
    <w:rsid w:val="00226B19"/>
    <w:rsid w:val="0023528A"/>
    <w:rsid w:val="00237A71"/>
    <w:rsid w:val="002476A3"/>
    <w:rsid w:val="00247E28"/>
    <w:rsid w:val="00250C40"/>
    <w:rsid w:val="00252BD1"/>
    <w:rsid w:val="00255645"/>
    <w:rsid w:val="00255FB1"/>
    <w:rsid w:val="0025636F"/>
    <w:rsid w:val="002670CA"/>
    <w:rsid w:val="00273BF0"/>
    <w:rsid w:val="00276AD6"/>
    <w:rsid w:val="0028365E"/>
    <w:rsid w:val="002841A5"/>
    <w:rsid w:val="00285C52"/>
    <w:rsid w:val="00290267"/>
    <w:rsid w:val="00296E0E"/>
    <w:rsid w:val="002A32D9"/>
    <w:rsid w:val="002B45F3"/>
    <w:rsid w:val="002C3373"/>
    <w:rsid w:val="002C57D6"/>
    <w:rsid w:val="002C6747"/>
    <w:rsid w:val="002D03F2"/>
    <w:rsid w:val="002E2E67"/>
    <w:rsid w:val="002E3B4F"/>
    <w:rsid w:val="002E5671"/>
    <w:rsid w:val="003046F2"/>
    <w:rsid w:val="0031289C"/>
    <w:rsid w:val="003139A8"/>
    <w:rsid w:val="00317A7E"/>
    <w:rsid w:val="0032086C"/>
    <w:rsid w:val="0032675C"/>
    <w:rsid w:val="00327C5E"/>
    <w:rsid w:val="00336D78"/>
    <w:rsid w:val="0034105E"/>
    <w:rsid w:val="003456EF"/>
    <w:rsid w:val="00346EB8"/>
    <w:rsid w:val="00355323"/>
    <w:rsid w:val="00355437"/>
    <w:rsid w:val="00361737"/>
    <w:rsid w:val="0036589C"/>
    <w:rsid w:val="00366010"/>
    <w:rsid w:val="0037397A"/>
    <w:rsid w:val="00383FDA"/>
    <w:rsid w:val="00387E8B"/>
    <w:rsid w:val="00387EBD"/>
    <w:rsid w:val="00393884"/>
    <w:rsid w:val="00395EF9"/>
    <w:rsid w:val="00397078"/>
    <w:rsid w:val="003A226A"/>
    <w:rsid w:val="003B1861"/>
    <w:rsid w:val="003B4B98"/>
    <w:rsid w:val="003B5C5C"/>
    <w:rsid w:val="003B72C5"/>
    <w:rsid w:val="003C1A94"/>
    <w:rsid w:val="003D5BC0"/>
    <w:rsid w:val="003D7FAF"/>
    <w:rsid w:val="003E1619"/>
    <w:rsid w:val="003E2E81"/>
    <w:rsid w:val="003E322D"/>
    <w:rsid w:val="003E3D5A"/>
    <w:rsid w:val="003F3EA0"/>
    <w:rsid w:val="003F752D"/>
    <w:rsid w:val="0040241C"/>
    <w:rsid w:val="00415B46"/>
    <w:rsid w:val="00416312"/>
    <w:rsid w:val="00422C15"/>
    <w:rsid w:val="004246E4"/>
    <w:rsid w:val="00425E66"/>
    <w:rsid w:val="00427292"/>
    <w:rsid w:val="00440DE6"/>
    <w:rsid w:val="00446E4A"/>
    <w:rsid w:val="00453D5F"/>
    <w:rsid w:val="00456FD2"/>
    <w:rsid w:val="004730FF"/>
    <w:rsid w:val="00475987"/>
    <w:rsid w:val="00476669"/>
    <w:rsid w:val="00486AAC"/>
    <w:rsid w:val="00486CB4"/>
    <w:rsid w:val="00490813"/>
    <w:rsid w:val="00493A8D"/>
    <w:rsid w:val="00496928"/>
    <w:rsid w:val="004A1520"/>
    <w:rsid w:val="004A2B70"/>
    <w:rsid w:val="004A6E93"/>
    <w:rsid w:val="004B0BCA"/>
    <w:rsid w:val="004B64C3"/>
    <w:rsid w:val="004C143F"/>
    <w:rsid w:val="004C3B4C"/>
    <w:rsid w:val="004C41B5"/>
    <w:rsid w:val="004C4AC3"/>
    <w:rsid w:val="004D04B6"/>
    <w:rsid w:val="004D3A52"/>
    <w:rsid w:val="004D4BEB"/>
    <w:rsid w:val="004E4466"/>
    <w:rsid w:val="00502DD0"/>
    <w:rsid w:val="00505DB2"/>
    <w:rsid w:val="005103AE"/>
    <w:rsid w:val="00513987"/>
    <w:rsid w:val="005237AC"/>
    <w:rsid w:val="005244BA"/>
    <w:rsid w:val="00525696"/>
    <w:rsid w:val="005330B3"/>
    <w:rsid w:val="00535582"/>
    <w:rsid w:val="00542E20"/>
    <w:rsid w:val="005625A6"/>
    <w:rsid w:val="0056356A"/>
    <w:rsid w:val="0057034D"/>
    <w:rsid w:val="00570799"/>
    <w:rsid w:val="00582523"/>
    <w:rsid w:val="005872BA"/>
    <w:rsid w:val="0059054B"/>
    <w:rsid w:val="00591CC2"/>
    <w:rsid w:val="00593823"/>
    <w:rsid w:val="00594B21"/>
    <w:rsid w:val="00595903"/>
    <w:rsid w:val="005B1185"/>
    <w:rsid w:val="005B14B1"/>
    <w:rsid w:val="005B5A38"/>
    <w:rsid w:val="005C335C"/>
    <w:rsid w:val="005C51AB"/>
    <w:rsid w:val="005C7BF5"/>
    <w:rsid w:val="005D1819"/>
    <w:rsid w:val="005D51A2"/>
    <w:rsid w:val="005D6195"/>
    <w:rsid w:val="005D7901"/>
    <w:rsid w:val="005E5FC1"/>
    <w:rsid w:val="006003DF"/>
    <w:rsid w:val="00611FA4"/>
    <w:rsid w:val="00612FD7"/>
    <w:rsid w:val="0061780F"/>
    <w:rsid w:val="006230DB"/>
    <w:rsid w:val="00624456"/>
    <w:rsid w:val="00625C23"/>
    <w:rsid w:val="006264BD"/>
    <w:rsid w:val="0064036E"/>
    <w:rsid w:val="006458C7"/>
    <w:rsid w:val="006548CB"/>
    <w:rsid w:val="0065570D"/>
    <w:rsid w:val="00656DEE"/>
    <w:rsid w:val="00660A22"/>
    <w:rsid w:val="00671B9B"/>
    <w:rsid w:val="00672EE0"/>
    <w:rsid w:val="0067729A"/>
    <w:rsid w:val="00681B8D"/>
    <w:rsid w:val="00683D71"/>
    <w:rsid w:val="00685112"/>
    <w:rsid w:val="006904B2"/>
    <w:rsid w:val="006925F4"/>
    <w:rsid w:val="006A0530"/>
    <w:rsid w:val="006B52FD"/>
    <w:rsid w:val="006B6E97"/>
    <w:rsid w:val="006C39D6"/>
    <w:rsid w:val="006C54F6"/>
    <w:rsid w:val="006D0CA2"/>
    <w:rsid w:val="006D1E38"/>
    <w:rsid w:val="006D222B"/>
    <w:rsid w:val="006D2280"/>
    <w:rsid w:val="006D45DF"/>
    <w:rsid w:val="006E59EA"/>
    <w:rsid w:val="006E665D"/>
    <w:rsid w:val="006E7E6D"/>
    <w:rsid w:val="00705115"/>
    <w:rsid w:val="0071459A"/>
    <w:rsid w:val="00726B4E"/>
    <w:rsid w:val="007315A8"/>
    <w:rsid w:val="00732104"/>
    <w:rsid w:val="007347AC"/>
    <w:rsid w:val="007358AB"/>
    <w:rsid w:val="00735C98"/>
    <w:rsid w:val="00737460"/>
    <w:rsid w:val="0074232A"/>
    <w:rsid w:val="00742644"/>
    <w:rsid w:val="00742F30"/>
    <w:rsid w:val="00743C8E"/>
    <w:rsid w:val="007444B4"/>
    <w:rsid w:val="007452CE"/>
    <w:rsid w:val="007473F0"/>
    <w:rsid w:val="00750087"/>
    <w:rsid w:val="00760EF1"/>
    <w:rsid w:val="00762435"/>
    <w:rsid w:val="007877C4"/>
    <w:rsid w:val="00797B50"/>
    <w:rsid w:val="007A10F1"/>
    <w:rsid w:val="007A3907"/>
    <w:rsid w:val="007B2DBC"/>
    <w:rsid w:val="007B3138"/>
    <w:rsid w:val="007B3ADE"/>
    <w:rsid w:val="007B4782"/>
    <w:rsid w:val="007B5A88"/>
    <w:rsid w:val="007C1999"/>
    <w:rsid w:val="007C5F7C"/>
    <w:rsid w:val="007D5581"/>
    <w:rsid w:val="007D653D"/>
    <w:rsid w:val="007D6937"/>
    <w:rsid w:val="007E1A4E"/>
    <w:rsid w:val="007F1373"/>
    <w:rsid w:val="007F7CC5"/>
    <w:rsid w:val="008014DB"/>
    <w:rsid w:val="0080239F"/>
    <w:rsid w:val="00811317"/>
    <w:rsid w:val="0081736A"/>
    <w:rsid w:val="00823039"/>
    <w:rsid w:val="008239F7"/>
    <w:rsid w:val="00830A8B"/>
    <w:rsid w:val="00840911"/>
    <w:rsid w:val="008518C6"/>
    <w:rsid w:val="00871521"/>
    <w:rsid w:val="008737D1"/>
    <w:rsid w:val="00876E96"/>
    <w:rsid w:val="00887507"/>
    <w:rsid w:val="0089520C"/>
    <w:rsid w:val="008A073D"/>
    <w:rsid w:val="008A785B"/>
    <w:rsid w:val="008B564A"/>
    <w:rsid w:val="008B7D6E"/>
    <w:rsid w:val="008C0533"/>
    <w:rsid w:val="008D1EDA"/>
    <w:rsid w:val="008D29DE"/>
    <w:rsid w:val="008F02B7"/>
    <w:rsid w:val="008F5A73"/>
    <w:rsid w:val="008F743E"/>
    <w:rsid w:val="00903CFA"/>
    <w:rsid w:val="0090411D"/>
    <w:rsid w:val="00911F2C"/>
    <w:rsid w:val="00912BB2"/>
    <w:rsid w:val="00913197"/>
    <w:rsid w:val="00914C37"/>
    <w:rsid w:val="00923CDA"/>
    <w:rsid w:val="00925B2F"/>
    <w:rsid w:val="00926DE8"/>
    <w:rsid w:val="00930B1C"/>
    <w:rsid w:val="00933F8A"/>
    <w:rsid w:val="009436B4"/>
    <w:rsid w:val="0095248D"/>
    <w:rsid w:val="00954582"/>
    <w:rsid w:val="00955738"/>
    <w:rsid w:val="00955B1B"/>
    <w:rsid w:val="009579A5"/>
    <w:rsid w:val="009643F8"/>
    <w:rsid w:val="009661DF"/>
    <w:rsid w:val="0096723B"/>
    <w:rsid w:val="00967A0C"/>
    <w:rsid w:val="00967D26"/>
    <w:rsid w:val="00970C4A"/>
    <w:rsid w:val="0097340A"/>
    <w:rsid w:val="00974697"/>
    <w:rsid w:val="00977798"/>
    <w:rsid w:val="0098215B"/>
    <w:rsid w:val="0098681B"/>
    <w:rsid w:val="009A00B2"/>
    <w:rsid w:val="009A2A71"/>
    <w:rsid w:val="009B3202"/>
    <w:rsid w:val="009B3B27"/>
    <w:rsid w:val="009B5928"/>
    <w:rsid w:val="009C1BF6"/>
    <w:rsid w:val="009C2311"/>
    <w:rsid w:val="009C74C2"/>
    <w:rsid w:val="009D0BA4"/>
    <w:rsid w:val="009D32DC"/>
    <w:rsid w:val="009E5707"/>
    <w:rsid w:val="009F446A"/>
    <w:rsid w:val="00A01A61"/>
    <w:rsid w:val="00A061D3"/>
    <w:rsid w:val="00A06A2B"/>
    <w:rsid w:val="00A07392"/>
    <w:rsid w:val="00A12A3B"/>
    <w:rsid w:val="00A16723"/>
    <w:rsid w:val="00A17C4D"/>
    <w:rsid w:val="00A22E8F"/>
    <w:rsid w:val="00A27BC8"/>
    <w:rsid w:val="00A27C9B"/>
    <w:rsid w:val="00A33999"/>
    <w:rsid w:val="00A4254E"/>
    <w:rsid w:val="00A45A7A"/>
    <w:rsid w:val="00A46CDD"/>
    <w:rsid w:val="00A5157F"/>
    <w:rsid w:val="00A51C34"/>
    <w:rsid w:val="00A60831"/>
    <w:rsid w:val="00A60AE6"/>
    <w:rsid w:val="00A61475"/>
    <w:rsid w:val="00A61C3F"/>
    <w:rsid w:val="00A84C41"/>
    <w:rsid w:val="00A92154"/>
    <w:rsid w:val="00A92AA6"/>
    <w:rsid w:val="00A9348B"/>
    <w:rsid w:val="00A9523A"/>
    <w:rsid w:val="00AA0A8A"/>
    <w:rsid w:val="00AA191B"/>
    <w:rsid w:val="00AA3269"/>
    <w:rsid w:val="00AB270E"/>
    <w:rsid w:val="00AB7854"/>
    <w:rsid w:val="00AC2DD6"/>
    <w:rsid w:val="00AC7573"/>
    <w:rsid w:val="00AD1114"/>
    <w:rsid w:val="00AD188D"/>
    <w:rsid w:val="00AD41E4"/>
    <w:rsid w:val="00AD7C79"/>
    <w:rsid w:val="00AE1365"/>
    <w:rsid w:val="00AF0CD0"/>
    <w:rsid w:val="00AF12EE"/>
    <w:rsid w:val="00B01D59"/>
    <w:rsid w:val="00B07001"/>
    <w:rsid w:val="00B10F5E"/>
    <w:rsid w:val="00B1304E"/>
    <w:rsid w:val="00B14129"/>
    <w:rsid w:val="00B15ECB"/>
    <w:rsid w:val="00B161D5"/>
    <w:rsid w:val="00B251C9"/>
    <w:rsid w:val="00B25EE1"/>
    <w:rsid w:val="00B36A2A"/>
    <w:rsid w:val="00B40EB1"/>
    <w:rsid w:val="00B60C9F"/>
    <w:rsid w:val="00B632CC"/>
    <w:rsid w:val="00B638BF"/>
    <w:rsid w:val="00B64325"/>
    <w:rsid w:val="00B75536"/>
    <w:rsid w:val="00B85FF4"/>
    <w:rsid w:val="00B947D7"/>
    <w:rsid w:val="00B97863"/>
    <w:rsid w:val="00BA31E4"/>
    <w:rsid w:val="00BA5358"/>
    <w:rsid w:val="00BA61AA"/>
    <w:rsid w:val="00BB287C"/>
    <w:rsid w:val="00BB3D2A"/>
    <w:rsid w:val="00BB43C9"/>
    <w:rsid w:val="00BB6A21"/>
    <w:rsid w:val="00BC396E"/>
    <w:rsid w:val="00BC3B19"/>
    <w:rsid w:val="00BC7054"/>
    <w:rsid w:val="00BD01E4"/>
    <w:rsid w:val="00BD4012"/>
    <w:rsid w:val="00BD4196"/>
    <w:rsid w:val="00BD561E"/>
    <w:rsid w:val="00BE24DC"/>
    <w:rsid w:val="00BE4557"/>
    <w:rsid w:val="00BE6C5E"/>
    <w:rsid w:val="00BF3129"/>
    <w:rsid w:val="00BF3FD1"/>
    <w:rsid w:val="00C01B6A"/>
    <w:rsid w:val="00C02E13"/>
    <w:rsid w:val="00C0359C"/>
    <w:rsid w:val="00C07615"/>
    <w:rsid w:val="00C07AC1"/>
    <w:rsid w:val="00C11603"/>
    <w:rsid w:val="00C11F5C"/>
    <w:rsid w:val="00C12C9F"/>
    <w:rsid w:val="00C1440A"/>
    <w:rsid w:val="00C21B4F"/>
    <w:rsid w:val="00C249BA"/>
    <w:rsid w:val="00C45332"/>
    <w:rsid w:val="00C45522"/>
    <w:rsid w:val="00C7309D"/>
    <w:rsid w:val="00C758E7"/>
    <w:rsid w:val="00C759A1"/>
    <w:rsid w:val="00C83503"/>
    <w:rsid w:val="00C84570"/>
    <w:rsid w:val="00C95EC3"/>
    <w:rsid w:val="00CA259C"/>
    <w:rsid w:val="00CA3690"/>
    <w:rsid w:val="00CA5678"/>
    <w:rsid w:val="00CA5776"/>
    <w:rsid w:val="00CA59A3"/>
    <w:rsid w:val="00CA5FF7"/>
    <w:rsid w:val="00CB17C0"/>
    <w:rsid w:val="00CB37EB"/>
    <w:rsid w:val="00CB61A5"/>
    <w:rsid w:val="00CC21FA"/>
    <w:rsid w:val="00CC4369"/>
    <w:rsid w:val="00CC55CC"/>
    <w:rsid w:val="00CC63DD"/>
    <w:rsid w:val="00CD00C8"/>
    <w:rsid w:val="00CE110E"/>
    <w:rsid w:val="00CF244D"/>
    <w:rsid w:val="00CF432C"/>
    <w:rsid w:val="00D002AC"/>
    <w:rsid w:val="00D042C6"/>
    <w:rsid w:val="00D065F3"/>
    <w:rsid w:val="00D066C6"/>
    <w:rsid w:val="00D1463E"/>
    <w:rsid w:val="00D17C9E"/>
    <w:rsid w:val="00D2087A"/>
    <w:rsid w:val="00D20D2F"/>
    <w:rsid w:val="00D22B19"/>
    <w:rsid w:val="00D3662C"/>
    <w:rsid w:val="00D36A26"/>
    <w:rsid w:val="00D452B6"/>
    <w:rsid w:val="00D71277"/>
    <w:rsid w:val="00D71F2B"/>
    <w:rsid w:val="00D76B73"/>
    <w:rsid w:val="00D82176"/>
    <w:rsid w:val="00D827F9"/>
    <w:rsid w:val="00D83191"/>
    <w:rsid w:val="00D86076"/>
    <w:rsid w:val="00D8614E"/>
    <w:rsid w:val="00D93B64"/>
    <w:rsid w:val="00D95E56"/>
    <w:rsid w:val="00D96D87"/>
    <w:rsid w:val="00DA1648"/>
    <w:rsid w:val="00DA552E"/>
    <w:rsid w:val="00DA5828"/>
    <w:rsid w:val="00DA5F59"/>
    <w:rsid w:val="00DB0088"/>
    <w:rsid w:val="00DB01D9"/>
    <w:rsid w:val="00DB502D"/>
    <w:rsid w:val="00DB535A"/>
    <w:rsid w:val="00DC42F3"/>
    <w:rsid w:val="00DD0B85"/>
    <w:rsid w:val="00DD25CD"/>
    <w:rsid w:val="00DD6785"/>
    <w:rsid w:val="00DD6AA1"/>
    <w:rsid w:val="00DD7F38"/>
    <w:rsid w:val="00DE4476"/>
    <w:rsid w:val="00DF42AF"/>
    <w:rsid w:val="00DF639A"/>
    <w:rsid w:val="00E027D4"/>
    <w:rsid w:val="00E25E32"/>
    <w:rsid w:val="00E34C8C"/>
    <w:rsid w:val="00E36AB7"/>
    <w:rsid w:val="00E373D3"/>
    <w:rsid w:val="00E40792"/>
    <w:rsid w:val="00E44EC1"/>
    <w:rsid w:val="00E45968"/>
    <w:rsid w:val="00E630FD"/>
    <w:rsid w:val="00E72285"/>
    <w:rsid w:val="00E73FF2"/>
    <w:rsid w:val="00E82F28"/>
    <w:rsid w:val="00E851C5"/>
    <w:rsid w:val="00E918C0"/>
    <w:rsid w:val="00E95166"/>
    <w:rsid w:val="00EA3A44"/>
    <w:rsid w:val="00EA6CEC"/>
    <w:rsid w:val="00EB3444"/>
    <w:rsid w:val="00EC3077"/>
    <w:rsid w:val="00EC7DCD"/>
    <w:rsid w:val="00ED6457"/>
    <w:rsid w:val="00EE036C"/>
    <w:rsid w:val="00EF121D"/>
    <w:rsid w:val="00EF690C"/>
    <w:rsid w:val="00F00D27"/>
    <w:rsid w:val="00F026DA"/>
    <w:rsid w:val="00F07D91"/>
    <w:rsid w:val="00F11C80"/>
    <w:rsid w:val="00F2069D"/>
    <w:rsid w:val="00F41B6B"/>
    <w:rsid w:val="00F458EE"/>
    <w:rsid w:val="00F45B64"/>
    <w:rsid w:val="00F5002E"/>
    <w:rsid w:val="00F64A3B"/>
    <w:rsid w:val="00F64A7E"/>
    <w:rsid w:val="00F739FB"/>
    <w:rsid w:val="00F73AC3"/>
    <w:rsid w:val="00F808AB"/>
    <w:rsid w:val="00F94201"/>
    <w:rsid w:val="00F958EF"/>
    <w:rsid w:val="00F96174"/>
    <w:rsid w:val="00F96C0A"/>
    <w:rsid w:val="00F97EBD"/>
    <w:rsid w:val="00FA061B"/>
    <w:rsid w:val="00FB44A1"/>
    <w:rsid w:val="00FB484C"/>
    <w:rsid w:val="00FB5A6A"/>
    <w:rsid w:val="00FB72DE"/>
    <w:rsid w:val="00FC537C"/>
    <w:rsid w:val="00FC6658"/>
    <w:rsid w:val="00FD53DE"/>
    <w:rsid w:val="00FD7FBF"/>
    <w:rsid w:val="00FE22A7"/>
    <w:rsid w:val="00FE639E"/>
    <w:rsid w:val="00FF1B10"/>
    <w:rsid w:val="07F16A11"/>
    <w:rsid w:val="1A242552"/>
    <w:rsid w:val="3A23C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77015"/>
  <w15:docId w15:val="{2A78A2F3-2276-4F06-A5B7-890BEEBB7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Calibri" w:hAnsi="Segoe UI" w:cs="Times New Roman"/>
        <w:color w:val="233845" w:themeColor="text1"/>
        <w:sz w:val="18"/>
        <w:szCs w:val="18"/>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70BF"/>
    <w:pPr>
      <w:spacing w:after="120"/>
    </w:pPr>
  </w:style>
  <w:style w:type="paragraph" w:styleId="Heading1">
    <w:name w:val="heading 1"/>
    <w:basedOn w:val="Normal"/>
    <w:next w:val="Normal"/>
    <w:link w:val="Heading1Char"/>
    <w:uiPriority w:val="9"/>
    <w:qFormat/>
    <w:rsid w:val="006B52FD"/>
    <w:pPr>
      <w:keepNext/>
      <w:keepLines/>
      <w:spacing w:before="240" w:after="0"/>
      <w:outlineLvl w:val="0"/>
    </w:pPr>
    <w:rPr>
      <w:rFonts w:asciiTheme="majorHAnsi" w:eastAsiaTheme="majorEastAsia" w:hAnsiTheme="majorHAnsi" w:cstheme="majorBidi"/>
      <w:color w:val="007783" w:themeColor="accent1" w:themeShade="BF"/>
      <w:sz w:val="32"/>
      <w:szCs w:val="32"/>
    </w:rPr>
  </w:style>
  <w:style w:type="paragraph" w:styleId="Heading2">
    <w:name w:val="heading 2"/>
    <w:basedOn w:val="Normal"/>
    <w:next w:val="Normal"/>
    <w:link w:val="Heading2Char"/>
    <w:uiPriority w:val="1"/>
    <w:unhideWhenUsed/>
    <w:qFormat/>
    <w:rsid w:val="00A61C3F"/>
    <w:pPr>
      <w:keepNext/>
      <w:keepLines/>
      <w:spacing w:before="40" w:after="0"/>
      <w:outlineLvl w:val="1"/>
    </w:pPr>
    <w:rPr>
      <w:rFonts w:asciiTheme="majorHAnsi" w:eastAsiaTheme="majorEastAsia" w:hAnsiTheme="majorHAnsi" w:cstheme="majorBidi"/>
      <w:color w:val="007783" w:themeColor="accent1" w:themeShade="BF"/>
      <w:sz w:val="26"/>
      <w:szCs w:val="26"/>
    </w:rPr>
  </w:style>
  <w:style w:type="paragraph" w:styleId="Heading3">
    <w:name w:val="heading 3"/>
    <w:basedOn w:val="Normal"/>
    <w:next w:val="Normal"/>
    <w:link w:val="Heading3Char"/>
    <w:uiPriority w:val="2"/>
    <w:unhideWhenUsed/>
    <w:qFormat/>
    <w:rsid w:val="006B52FD"/>
    <w:pPr>
      <w:keepNext/>
      <w:keepLines/>
      <w:spacing w:before="40" w:after="0"/>
      <w:outlineLvl w:val="2"/>
    </w:pPr>
    <w:rPr>
      <w:rFonts w:asciiTheme="majorHAnsi" w:eastAsiaTheme="majorEastAsia" w:hAnsiTheme="majorHAnsi" w:cstheme="majorBidi"/>
      <w:color w:val="004F57" w:themeColor="accent1" w:themeShade="7F"/>
      <w:sz w:val="24"/>
      <w:szCs w:val="24"/>
    </w:rPr>
  </w:style>
  <w:style w:type="paragraph" w:styleId="Heading4">
    <w:name w:val="heading 4"/>
    <w:basedOn w:val="Normal"/>
    <w:next w:val="Normal"/>
    <w:link w:val="Heading4Char"/>
    <w:uiPriority w:val="3"/>
    <w:unhideWhenUsed/>
    <w:qFormat/>
    <w:rsid w:val="001670BF"/>
    <w:pPr>
      <w:keepNext/>
      <w:keepLines/>
      <w:spacing w:before="40" w:after="0"/>
      <w:outlineLvl w:val="3"/>
    </w:pPr>
    <w:rPr>
      <w:rFonts w:asciiTheme="majorHAnsi" w:eastAsiaTheme="majorEastAsia" w:hAnsiTheme="majorHAnsi" w:cstheme="majorBidi"/>
      <w:i/>
      <w:iCs/>
      <w:color w:val="007783" w:themeColor="accent1" w:themeShade="BF"/>
    </w:rPr>
  </w:style>
  <w:style w:type="paragraph" w:styleId="Heading5">
    <w:name w:val="heading 5"/>
    <w:basedOn w:val="Normal"/>
    <w:next w:val="Normal"/>
    <w:link w:val="Heading5Char"/>
    <w:uiPriority w:val="4"/>
    <w:qFormat/>
    <w:rsid w:val="00AA0A8A"/>
    <w:pPr>
      <w:spacing w:before="240" w:after="60" w:line="360" w:lineRule="auto"/>
      <w:ind w:left="567" w:hanging="567"/>
      <w:outlineLvl w:val="4"/>
    </w:pPr>
    <w:rPr>
      <w:rFonts w:eastAsia="Times New Roman"/>
      <w:bCs/>
      <w:i/>
      <w:iCs/>
      <w:color w:val="00A0AF" w:themeColor="accent1"/>
      <w:sz w:val="20"/>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747"/>
    <w:pPr>
      <w:spacing w:after="0"/>
    </w:pPr>
    <w:rPr>
      <w:rFonts w:ascii="Tahoma" w:hAnsi="Tahoma" w:cs="Tahoma"/>
      <w:sz w:val="16"/>
      <w:szCs w:val="16"/>
    </w:rPr>
  </w:style>
  <w:style w:type="character" w:customStyle="1" w:styleId="BalloonTextChar">
    <w:name w:val="Balloon Text Char"/>
    <w:link w:val="BalloonText"/>
    <w:uiPriority w:val="99"/>
    <w:semiHidden/>
    <w:rsid w:val="002C6747"/>
    <w:rPr>
      <w:rFonts w:ascii="Tahoma" w:hAnsi="Tahoma" w:cs="Tahoma"/>
      <w:sz w:val="16"/>
      <w:szCs w:val="16"/>
    </w:rPr>
  </w:style>
  <w:style w:type="paragraph" w:styleId="Header">
    <w:name w:val="header"/>
    <w:basedOn w:val="Normal"/>
    <w:link w:val="HeaderChar"/>
    <w:uiPriority w:val="99"/>
    <w:unhideWhenUsed/>
    <w:rsid w:val="002C6747"/>
    <w:pPr>
      <w:tabs>
        <w:tab w:val="center" w:pos="4680"/>
        <w:tab w:val="right" w:pos="9360"/>
      </w:tabs>
      <w:spacing w:after="0"/>
    </w:pPr>
  </w:style>
  <w:style w:type="character" w:customStyle="1" w:styleId="HeaderChar">
    <w:name w:val="Header Char"/>
    <w:basedOn w:val="DefaultParagraphFont"/>
    <w:link w:val="Header"/>
    <w:uiPriority w:val="99"/>
    <w:rsid w:val="002C6747"/>
  </w:style>
  <w:style w:type="paragraph" w:styleId="Footer">
    <w:name w:val="footer"/>
    <w:basedOn w:val="Normal"/>
    <w:link w:val="FooterChar"/>
    <w:uiPriority w:val="99"/>
    <w:unhideWhenUsed/>
    <w:rsid w:val="0081736A"/>
    <w:pPr>
      <w:tabs>
        <w:tab w:val="center" w:pos="4680"/>
        <w:tab w:val="right" w:pos="9360"/>
      </w:tabs>
      <w:spacing w:after="0"/>
    </w:pPr>
    <w:rPr>
      <w:sz w:val="14"/>
    </w:rPr>
  </w:style>
  <w:style w:type="character" w:customStyle="1" w:styleId="FooterChar">
    <w:name w:val="Footer Char"/>
    <w:basedOn w:val="DefaultParagraphFont"/>
    <w:link w:val="Footer"/>
    <w:uiPriority w:val="99"/>
    <w:rsid w:val="0081736A"/>
    <w:rPr>
      <w:sz w:val="14"/>
    </w:rPr>
  </w:style>
  <w:style w:type="character" w:styleId="IntenseReference">
    <w:name w:val="Intense Reference"/>
    <w:basedOn w:val="DefaultParagraphFont"/>
    <w:uiPriority w:val="32"/>
    <w:rsid w:val="001670BF"/>
    <w:rPr>
      <w:b/>
      <w:bCs/>
      <w:smallCaps/>
      <w:color w:val="00A0AF" w:themeColor="accent1"/>
      <w:spacing w:val="5"/>
    </w:rPr>
  </w:style>
  <w:style w:type="paragraph" w:customStyle="1" w:styleId="WoodIntro">
    <w:name w:val="Wood Intro"/>
    <w:basedOn w:val="Normal"/>
    <w:link w:val="WoodIntroChar"/>
    <w:qFormat/>
    <w:rsid w:val="0071459A"/>
    <w:pPr>
      <w:spacing w:after="360"/>
    </w:pPr>
    <w:rPr>
      <w:sz w:val="24"/>
    </w:rPr>
  </w:style>
  <w:style w:type="paragraph" w:customStyle="1" w:styleId="WoodSubheading2teal">
    <w:name w:val="Wood Subheading 2 (teal)"/>
    <w:basedOn w:val="Woodsubheading2grey"/>
    <w:link w:val="WoodSubheading2tealChar"/>
    <w:qFormat/>
    <w:rsid w:val="0081736A"/>
    <w:rPr>
      <w:color w:val="00A0AF" w:themeColor="accent1"/>
    </w:rPr>
  </w:style>
  <w:style w:type="paragraph" w:customStyle="1" w:styleId="WoodBody">
    <w:name w:val="Wood Body"/>
    <w:basedOn w:val="Normal"/>
    <w:link w:val="WoodBodyChar"/>
    <w:qFormat/>
    <w:rsid w:val="00A61C3F"/>
    <w:rPr>
      <w:rFonts w:eastAsia="Times New Roman" w:cs="Tahoma"/>
    </w:rPr>
  </w:style>
  <w:style w:type="paragraph" w:customStyle="1" w:styleId="Woodheadline">
    <w:name w:val="Wood headline"/>
    <w:basedOn w:val="Normal"/>
    <w:next w:val="Normal"/>
    <w:link w:val="WoodheadlineChar"/>
    <w:qFormat/>
    <w:rsid w:val="0071459A"/>
    <w:pPr>
      <w:spacing w:after="360" w:line="216" w:lineRule="auto"/>
    </w:pPr>
    <w:rPr>
      <w:rFonts w:eastAsia="Times New Roman" w:cs="Tahoma"/>
      <w:b/>
      <w:sz w:val="48"/>
      <w:szCs w:val="20"/>
    </w:rPr>
  </w:style>
  <w:style w:type="character" w:customStyle="1" w:styleId="Heading2Char">
    <w:name w:val="Heading 2 Char"/>
    <w:basedOn w:val="DefaultParagraphFont"/>
    <w:link w:val="Heading2"/>
    <w:uiPriority w:val="1"/>
    <w:rsid w:val="00A61C3F"/>
    <w:rPr>
      <w:rFonts w:asciiTheme="majorHAnsi" w:eastAsiaTheme="majorEastAsia" w:hAnsiTheme="majorHAnsi" w:cstheme="majorBidi"/>
      <w:color w:val="007783" w:themeColor="accent1" w:themeShade="BF"/>
      <w:sz w:val="26"/>
      <w:szCs w:val="26"/>
      <w:lang w:val="en-US" w:eastAsia="en-US"/>
    </w:rPr>
  </w:style>
  <w:style w:type="character" w:customStyle="1" w:styleId="WoodBodyChar">
    <w:name w:val="Wood Body Char"/>
    <w:basedOn w:val="DefaultParagraphFont"/>
    <w:link w:val="WoodBody"/>
    <w:rsid w:val="00A61C3F"/>
    <w:rPr>
      <w:rFonts w:ascii="Segoe UI" w:eastAsia="Times New Roman" w:hAnsi="Segoe UI" w:cs="Tahoma"/>
      <w:color w:val="233845" w:themeColor="text1"/>
      <w:sz w:val="18"/>
      <w:szCs w:val="18"/>
    </w:rPr>
  </w:style>
  <w:style w:type="paragraph" w:customStyle="1" w:styleId="Woodsubheading2grey">
    <w:name w:val="Wood subheading 2 (grey)"/>
    <w:basedOn w:val="Normal"/>
    <w:link w:val="Woodsubheading2greyChar"/>
    <w:qFormat/>
    <w:rsid w:val="0081736A"/>
    <w:pPr>
      <w:spacing w:before="180" w:after="60"/>
    </w:pPr>
    <w:rPr>
      <w:rFonts w:eastAsia="Times New Roman" w:cs="Tahoma"/>
      <w:b/>
      <w:sz w:val="20"/>
      <w:szCs w:val="20"/>
    </w:rPr>
  </w:style>
  <w:style w:type="character" w:customStyle="1" w:styleId="WoodIntroChar">
    <w:name w:val="Wood Intro Char"/>
    <w:basedOn w:val="DefaultParagraphFont"/>
    <w:link w:val="WoodIntro"/>
    <w:rsid w:val="0071459A"/>
    <w:rPr>
      <w:sz w:val="24"/>
    </w:rPr>
  </w:style>
  <w:style w:type="character" w:customStyle="1" w:styleId="WoodheadlineChar">
    <w:name w:val="Wood headline Char"/>
    <w:basedOn w:val="DefaultParagraphFont"/>
    <w:link w:val="Woodheadline"/>
    <w:rsid w:val="0071459A"/>
    <w:rPr>
      <w:rFonts w:eastAsia="Times New Roman" w:cs="Tahoma"/>
      <w:b/>
      <w:sz w:val="48"/>
      <w:szCs w:val="20"/>
    </w:rPr>
  </w:style>
  <w:style w:type="paragraph" w:customStyle="1" w:styleId="Subheading1grey">
    <w:name w:val="Subheading 1 (grey)"/>
    <w:basedOn w:val="Subheading1teal"/>
    <w:link w:val="Subheading1greyChar"/>
    <w:qFormat/>
    <w:rsid w:val="008B7D6E"/>
    <w:rPr>
      <w:color w:val="233845" w:themeColor="text1"/>
    </w:rPr>
  </w:style>
  <w:style w:type="character" w:customStyle="1" w:styleId="WoodSubheading2tealChar">
    <w:name w:val="Wood Subheading 2 (teal) Char"/>
    <w:basedOn w:val="Woodsubheading2greyChar"/>
    <w:link w:val="WoodSubheading2teal"/>
    <w:rsid w:val="0081736A"/>
    <w:rPr>
      <w:rFonts w:eastAsia="Times New Roman" w:cs="Tahoma"/>
      <w:b/>
      <w:color w:val="00A0AF" w:themeColor="accent1"/>
      <w:sz w:val="20"/>
      <w:szCs w:val="20"/>
    </w:rPr>
  </w:style>
  <w:style w:type="character" w:customStyle="1" w:styleId="Woodsubheading2greyChar">
    <w:name w:val="Wood subheading 2 (grey) Char"/>
    <w:basedOn w:val="DefaultParagraphFont"/>
    <w:link w:val="Woodsubheading2grey"/>
    <w:rsid w:val="0081736A"/>
    <w:rPr>
      <w:rFonts w:eastAsia="Times New Roman" w:cs="Tahoma"/>
      <w:b/>
      <w:sz w:val="20"/>
      <w:szCs w:val="20"/>
    </w:rPr>
  </w:style>
  <w:style w:type="paragraph" w:customStyle="1" w:styleId="Woodbodyemphasisteal">
    <w:name w:val="Wood body emphasis (teal)"/>
    <w:basedOn w:val="WoodBodyEmphasis"/>
    <w:link w:val="WoodbodyemphasistealChar"/>
    <w:qFormat/>
    <w:rsid w:val="0081736A"/>
    <w:rPr>
      <w:color w:val="00A0AF" w:themeColor="accent1"/>
    </w:rPr>
  </w:style>
  <w:style w:type="paragraph" w:customStyle="1" w:styleId="WoodFooter">
    <w:name w:val="Wood Footer"/>
    <w:basedOn w:val="Normal"/>
    <w:link w:val="WoodFooterChar"/>
    <w:qFormat/>
    <w:rsid w:val="0081736A"/>
    <w:pPr>
      <w:spacing w:before="100"/>
    </w:pPr>
    <w:rPr>
      <w:rFonts w:cs="Arial"/>
      <w:sz w:val="16"/>
      <w:szCs w:val="14"/>
    </w:rPr>
  </w:style>
  <w:style w:type="paragraph" w:customStyle="1" w:styleId="WoodBodyEmphasis">
    <w:name w:val="Wood Body Emphasis"/>
    <w:basedOn w:val="Normal"/>
    <w:link w:val="WoodBodyEmphasisChar"/>
    <w:qFormat/>
    <w:rsid w:val="00A61C3F"/>
    <w:pPr>
      <w:spacing w:after="0" w:line="260" w:lineRule="exact"/>
    </w:pPr>
    <w:rPr>
      <w:rFonts w:eastAsia="Times New Roman" w:cs="Tahoma"/>
      <w:b/>
    </w:rPr>
  </w:style>
  <w:style w:type="character" w:customStyle="1" w:styleId="WoodFooterChar">
    <w:name w:val="Wood Footer Char"/>
    <w:basedOn w:val="DefaultParagraphFont"/>
    <w:link w:val="WoodFooter"/>
    <w:rsid w:val="0081736A"/>
    <w:rPr>
      <w:rFonts w:cs="Arial"/>
      <w:sz w:val="16"/>
      <w:szCs w:val="14"/>
    </w:rPr>
  </w:style>
  <w:style w:type="character" w:customStyle="1" w:styleId="WoodBodyEmphasisChar">
    <w:name w:val="Wood Body Emphasis Char"/>
    <w:basedOn w:val="DefaultParagraphFont"/>
    <w:link w:val="WoodBodyEmphasis"/>
    <w:rsid w:val="00A61C3F"/>
    <w:rPr>
      <w:rFonts w:ascii="Segoe UI" w:eastAsia="Times New Roman" w:hAnsi="Segoe UI" w:cs="Tahoma"/>
      <w:b/>
      <w:sz w:val="18"/>
      <w:szCs w:val="18"/>
    </w:rPr>
  </w:style>
  <w:style w:type="paragraph" w:customStyle="1" w:styleId="Bodybullet">
    <w:name w:val="Body bullet"/>
    <w:basedOn w:val="WoodBody"/>
    <w:link w:val="BodybulletChar"/>
    <w:qFormat/>
    <w:rsid w:val="0081736A"/>
    <w:pPr>
      <w:numPr>
        <w:numId w:val="3"/>
      </w:numPr>
      <w:spacing w:before="120"/>
      <w:ind w:left="341" w:hanging="284"/>
      <w:contextualSpacing/>
    </w:pPr>
  </w:style>
  <w:style w:type="character" w:customStyle="1" w:styleId="Heading4Char">
    <w:name w:val="Heading 4 Char"/>
    <w:basedOn w:val="DefaultParagraphFont"/>
    <w:link w:val="Heading4"/>
    <w:uiPriority w:val="9"/>
    <w:rsid w:val="001670BF"/>
    <w:rPr>
      <w:rFonts w:asciiTheme="majorHAnsi" w:eastAsiaTheme="majorEastAsia" w:hAnsiTheme="majorHAnsi" w:cstheme="majorBidi"/>
      <w:i/>
      <w:iCs/>
      <w:color w:val="007783" w:themeColor="accent1" w:themeShade="BF"/>
    </w:rPr>
  </w:style>
  <w:style w:type="character" w:customStyle="1" w:styleId="BodybulletChar">
    <w:name w:val="Body bullet Char"/>
    <w:basedOn w:val="WoodBodyChar"/>
    <w:link w:val="Bodybullet"/>
    <w:rsid w:val="0081736A"/>
    <w:rPr>
      <w:rFonts w:ascii="Segoe UI" w:eastAsia="Times New Roman" w:hAnsi="Segoe UI" w:cs="Tahoma"/>
      <w:color w:val="233845" w:themeColor="text1"/>
      <w:sz w:val="18"/>
      <w:szCs w:val="18"/>
    </w:rPr>
  </w:style>
  <w:style w:type="paragraph" w:customStyle="1" w:styleId="Woodsubhead1-bulletednumberteal">
    <w:name w:val="Wood subhead 1 - bulleted number (teal)"/>
    <w:basedOn w:val="Normal"/>
    <w:link w:val="Woodsubhead1-bulletednumbertealChar"/>
    <w:qFormat/>
    <w:rsid w:val="001670BF"/>
    <w:pPr>
      <w:numPr>
        <w:numId w:val="5"/>
      </w:numPr>
      <w:spacing w:before="240"/>
      <w:ind w:left="284" w:hanging="284"/>
    </w:pPr>
    <w:rPr>
      <w:rFonts w:eastAsia="Times New Roman" w:cs="Tahoma"/>
      <w:b/>
      <w:color w:val="00A0AF" w:themeColor="accent1"/>
      <w:sz w:val="22"/>
      <w:szCs w:val="20"/>
    </w:rPr>
  </w:style>
  <w:style w:type="paragraph" w:customStyle="1" w:styleId="Woodsubhead1-bulletednumbergrey">
    <w:name w:val="Wood subhead 1 - bulleted number (grey)"/>
    <w:basedOn w:val="Woodsubhead1-bulletednumberteal"/>
    <w:link w:val="Woodsubhead1-bulletednumbergreyChar"/>
    <w:qFormat/>
    <w:rsid w:val="006B52FD"/>
    <w:rPr>
      <w:color w:val="233845" w:themeColor="accent3"/>
    </w:rPr>
  </w:style>
  <w:style w:type="character" w:customStyle="1" w:styleId="Woodsubhead1-bulletednumbertealChar">
    <w:name w:val="Wood subhead 1 - bulleted number (teal) Char"/>
    <w:basedOn w:val="DefaultParagraphFont"/>
    <w:link w:val="Woodsubhead1-bulletednumberteal"/>
    <w:rsid w:val="001670BF"/>
    <w:rPr>
      <w:rFonts w:ascii="Segoe UI" w:eastAsia="Times New Roman" w:hAnsi="Segoe UI" w:cs="Tahoma"/>
      <w:b/>
      <w:color w:val="00A0AF" w:themeColor="accent1"/>
      <w:sz w:val="22"/>
      <w:szCs w:val="20"/>
    </w:rPr>
  </w:style>
  <w:style w:type="paragraph" w:customStyle="1" w:styleId="Heading1teal">
    <w:name w:val="Heading 1 teal"/>
    <w:basedOn w:val="Woodsubhead1-bulletednumbergrey"/>
    <w:link w:val="Heading1tealChar"/>
    <w:rsid w:val="00C83503"/>
    <w:pPr>
      <w:numPr>
        <w:numId w:val="0"/>
      </w:numPr>
      <w:ind w:left="284" w:hanging="284"/>
    </w:pPr>
  </w:style>
  <w:style w:type="character" w:customStyle="1" w:styleId="Woodsubhead1-bulletednumbergreyChar">
    <w:name w:val="Wood subhead 1 - bulleted number (grey) Char"/>
    <w:basedOn w:val="Woodsubhead1-bulletednumbertealChar"/>
    <w:link w:val="Woodsubhead1-bulletednumbergrey"/>
    <w:rsid w:val="006B52FD"/>
    <w:rPr>
      <w:rFonts w:ascii="Segoe UI" w:eastAsia="Times New Roman" w:hAnsi="Segoe UI" w:cs="Tahoma"/>
      <w:b/>
      <w:color w:val="233845" w:themeColor="accent3"/>
      <w:sz w:val="22"/>
      <w:szCs w:val="20"/>
    </w:rPr>
  </w:style>
  <w:style w:type="paragraph" w:customStyle="1" w:styleId="Subheading1teal">
    <w:name w:val="Subheading 1 (teal)"/>
    <w:basedOn w:val="Heading1teal"/>
    <w:link w:val="Subheading1tealChar"/>
    <w:qFormat/>
    <w:rsid w:val="008B7D6E"/>
    <w:pPr>
      <w:tabs>
        <w:tab w:val="left" w:pos="284"/>
      </w:tabs>
    </w:pPr>
    <w:rPr>
      <w:color w:val="00A0AF" w:themeColor="accent1"/>
    </w:rPr>
  </w:style>
  <w:style w:type="character" w:customStyle="1" w:styleId="Heading1tealChar">
    <w:name w:val="Heading 1 teal Char"/>
    <w:basedOn w:val="Woodsubhead1-bulletednumbergreyChar"/>
    <w:link w:val="Heading1teal"/>
    <w:rsid w:val="00C83503"/>
    <w:rPr>
      <w:rFonts w:ascii="Segoe UI" w:eastAsia="Times New Roman" w:hAnsi="Segoe UI" w:cs="Tahoma"/>
      <w:b/>
      <w:color w:val="233845" w:themeColor="accent3"/>
      <w:sz w:val="24"/>
      <w:szCs w:val="18"/>
    </w:rPr>
  </w:style>
  <w:style w:type="character" w:customStyle="1" w:styleId="Subheading1tealChar">
    <w:name w:val="Subheading 1 (teal) Char"/>
    <w:basedOn w:val="Heading1tealChar"/>
    <w:link w:val="Subheading1teal"/>
    <w:rsid w:val="008B7D6E"/>
    <w:rPr>
      <w:rFonts w:ascii="Segoe UI" w:eastAsia="Times New Roman" w:hAnsi="Segoe UI" w:cs="Tahoma"/>
      <w:b/>
      <w:color w:val="00A0AF" w:themeColor="accent1"/>
      <w:sz w:val="22"/>
      <w:szCs w:val="20"/>
    </w:rPr>
  </w:style>
  <w:style w:type="character" w:customStyle="1" w:styleId="Heading3Char">
    <w:name w:val="Heading 3 Char"/>
    <w:basedOn w:val="DefaultParagraphFont"/>
    <w:link w:val="Heading3"/>
    <w:uiPriority w:val="9"/>
    <w:rsid w:val="006B52FD"/>
    <w:rPr>
      <w:rFonts w:asciiTheme="majorHAnsi" w:eastAsiaTheme="majorEastAsia" w:hAnsiTheme="majorHAnsi" w:cstheme="majorBidi"/>
      <w:color w:val="004F57" w:themeColor="accent1" w:themeShade="7F"/>
      <w:sz w:val="24"/>
      <w:szCs w:val="24"/>
    </w:rPr>
  </w:style>
  <w:style w:type="character" w:customStyle="1" w:styleId="Heading1Char">
    <w:name w:val="Heading 1 Char"/>
    <w:basedOn w:val="DefaultParagraphFont"/>
    <w:link w:val="Heading1"/>
    <w:uiPriority w:val="9"/>
    <w:rsid w:val="006B52FD"/>
    <w:rPr>
      <w:rFonts w:asciiTheme="majorHAnsi" w:eastAsiaTheme="majorEastAsia" w:hAnsiTheme="majorHAnsi" w:cstheme="majorBidi"/>
      <w:color w:val="007783" w:themeColor="accent1" w:themeShade="BF"/>
      <w:sz w:val="32"/>
      <w:szCs w:val="32"/>
    </w:rPr>
  </w:style>
  <w:style w:type="character" w:customStyle="1" w:styleId="Subheading1greyChar">
    <w:name w:val="Subheading 1 (grey) Char"/>
    <w:basedOn w:val="Subheading1tealChar"/>
    <w:link w:val="Subheading1grey"/>
    <w:rsid w:val="008B7D6E"/>
    <w:rPr>
      <w:rFonts w:ascii="Segoe UI" w:eastAsia="Times New Roman" w:hAnsi="Segoe UI" w:cs="Tahoma"/>
      <w:b/>
      <w:color w:val="00A0AF" w:themeColor="accent1"/>
      <w:sz w:val="22"/>
      <w:szCs w:val="20"/>
    </w:rPr>
  </w:style>
  <w:style w:type="paragraph" w:customStyle="1" w:styleId="Numberedbullet">
    <w:name w:val="Numbered bullet"/>
    <w:basedOn w:val="Bodybullet"/>
    <w:link w:val="NumberedbulletChar"/>
    <w:qFormat/>
    <w:rsid w:val="0081736A"/>
    <w:pPr>
      <w:numPr>
        <w:numId w:val="9"/>
      </w:numPr>
      <w:ind w:left="341" w:hanging="284"/>
    </w:pPr>
  </w:style>
  <w:style w:type="character" w:customStyle="1" w:styleId="WoodbodyemphasistealChar">
    <w:name w:val="Wood body emphasis (teal) Char"/>
    <w:basedOn w:val="WoodBodyEmphasisChar"/>
    <w:link w:val="Woodbodyemphasisteal"/>
    <w:rsid w:val="0081736A"/>
    <w:rPr>
      <w:rFonts w:ascii="Segoe UI" w:eastAsia="Times New Roman" w:hAnsi="Segoe UI" w:cs="Tahoma"/>
      <w:b/>
      <w:color w:val="00A0AF" w:themeColor="accent1"/>
      <w:sz w:val="18"/>
      <w:szCs w:val="18"/>
    </w:rPr>
  </w:style>
  <w:style w:type="paragraph" w:styleId="ListParagraph">
    <w:name w:val="List Paragraph"/>
    <w:basedOn w:val="Normal"/>
    <w:uiPriority w:val="34"/>
    <w:qFormat/>
    <w:rsid w:val="001670BF"/>
    <w:pPr>
      <w:ind w:left="720"/>
      <w:contextualSpacing/>
    </w:pPr>
  </w:style>
  <w:style w:type="character" w:customStyle="1" w:styleId="NumberedbulletChar">
    <w:name w:val="Numbered bullet Char"/>
    <w:basedOn w:val="BodybulletChar"/>
    <w:link w:val="Numberedbullet"/>
    <w:rsid w:val="0081736A"/>
    <w:rPr>
      <w:rFonts w:ascii="Segoe UI" w:eastAsia="Times New Roman" w:hAnsi="Segoe UI" w:cs="Tahoma"/>
      <w:color w:val="233845" w:themeColor="text1"/>
      <w:sz w:val="18"/>
      <w:szCs w:val="18"/>
    </w:rPr>
  </w:style>
  <w:style w:type="paragraph" w:customStyle="1" w:styleId="Covertitle">
    <w:name w:val="Cover title"/>
    <w:basedOn w:val="Woodheadline"/>
    <w:link w:val="CovertitleChar"/>
    <w:qFormat/>
    <w:rsid w:val="00BE24DC"/>
    <w:pPr>
      <w:spacing w:before="240" w:after="800" w:line="1000" w:lineRule="exact"/>
    </w:pPr>
    <w:rPr>
      <w:color w:val="00A0AF" w:themeColor="accent1"/>
      <w:sz w:val="100"/>
      <w:szCs w:val="90"/>
    </w:rPr>
  </w:style>
  <w:style w:type="character" w:customStyle="1" w:styleId="CovertitleChar">
    <w:name w:val="Cover title Char"/>
    <w:basedOn w:val="WoodheadlineChar"/>
    <w:link w:val="Covertitle"/>
    <w:rsid w:val="00BE24DC"/>
    <w:rPr>
      <w:rFonts w:eastAsia="Times New Roman" w:cs="Tahoma"/>
      <w:b/>
      <w:color w:val="00A0AF" w:themeColor="accent1"/>
      <w:sz w:val="100"/>
      <w:szCs w:val="90"/>
    </w:rPr>
  </w:style>
  <w:style w:type="paragraph" w:customStyle="1" w:styleId="Coversubtitle">
    <w:name w:val="Cover subtitle"/>
    <w:basedOn w:val="WoodIntro"/>
    <w:link w:val="CoversubtitleChar"/>
    <w:qFormat/>
    <w:rsid w:val="00BE24DC"/>
    <w:rPr>
      <w:sz w:val="32"/>
      <w:szCs w:val="22"/>
    </w:rPr>
  </w:style>
  <w:style w:type="character" w:customStyle="1" w:styleId="CoversubtitleChar">
    <w:name w:val="Cover subtitle Char"/>
    <w:basedOn w:val="WoodIntroChar"/>
    <w:link w:val="Coversubtitle"/>
    <w:rsid w:val="00BE24DC"/>
    <w:rPr>
      <w:sz w:val="32"/>
      <w:szCs w:val="22"/>
    </w:rPr>
  </w:style>
  <w:style w:type="table" w:customStyle="1" w:styleId="MiscTable">
    <w:name w:val="MiscTable"/>
    <w:basedOn w:val="TableNormal"/>
    <w:uiPriority w:val="49"/>
    <w:rsid w:val="00AA0A8A"/>
    <w:rPr>
      <w:rFonts w:ascii="Calibri" w:hAnsi="Calibri"/>
      <w:color w:val="auto"/>
      <w:sz w:val="20"/>
      <w:szCs w:val="20"/>
      <w:lang w:val="en-US" w:eastAsia="en-US"/>
    </w:rPr>
    <w:tblPr>
      <w:tblStyleRowBandSize w:val="1"/>
      <w:tblStyleColBandSize w:val="1"/>
      <w:tblBorders>
        <w:top w:val="single" w:sz="4" w:space="0" w:color="233845" w:themeColor="text1"/>
        <w:left w:val="single" w:sz="4" w:space="0" w:color="233845" w:themeColor="text1"/>
        <w:bottom w:val="single" w:sz="4" w:space="0" w:color="233845" w:themeColor="text1"/>
        <w:right w:val="single" w:sz="4" w:space="0" w:color="233845" w:themeColor="text1"/>
        <w:insideH w:val="single" w:sz="4" w:space="0" w:color="233845" w:themeColor="text1"/>
        <w:insideV w:val="single" w:sz="4" w:space="0" w:color="233845" w:themeColor="text1"/>
      </w:tblBorders>
    </w:tblPr>
    <w:tblStylePr w:type="firstRow">
      <w:pPr>
        <w:jc w:val="center"/>
      </w:pPr>
      <w:rPr>
        <w:b/>
        <w:bCs/>
        <w:color w:val="FFFFFF" w:themeColor="background1"/>
      </w:rPr>
      <w:tblPr/>
      <w:tcPr>
        <w:tcBorders>
          <w:top w:val="single" w:sz="4" w:space="0" w:color="A7AFB5" w:themeColor="accent6"/>
          <w:left w:val="single" w:sz="4" w:space="0" w:color="A7AFB5" w:themeColor="accent6"/>
          <w:bottom w:val="single" w:sz="4" w:space="0" w:color="A7AFB5" w:themeColor="accent6"/>
          <w:right w:val="single" w:sz="4" w:space="0" w:color="A7AFB5" w:themeColor="accent6"/>
          <w:insideH w:val="nil"/>
          <w:insideV w:val="nil"/>
        </w:tcBorders>
        <w:shd w:val="clear" w:color="auto" w:fill="A7AFB5" w:themeFill="accent6"/>
        <w:vAlign w:val="center"/>
      </w:tcPr>
    </w:tblStylePr>
    <w:tblStylePr w:type="lastRow">
      <w:rPr>
        <w:b/>
        <w:bCs/>
      </w:rPr>
      <w:tblPr/>
      <w:tcPr>
        <w:tcBorders>
          <w:top w:val="double" w:sz="4" w:space="0" w:color="A7AFB5" w:themeColor="accent6"/>
        </w:tcBorders>
      </w:tcPr>
    </w:tblStylePr>
    <w:tblStylePr w:type="firstCol">
      <w:rPr>
        <w:b w:val="0"/>
        <w:bCs/>
      </w:rPr>
    </w:tblStylePr>
    <w:tblStylePr w:type="lastCol">
      <w:rPr>
        <w:b w:val="0"/>
        <w:bCs/>
      </w:rPr>
    </w:tblStylePr>
    <w:tblStylePr w:type="band1Horz">
      <w:tblPr/>
      <w:tcPr>
        <w:shd w:val="clear" w:color="auto" w:fill="E1E7FF"/>
      </w:tcPr>
    </w:tblStylePr>
  </w:style>
  <w:style w:type="paragraph" w:styleId="BodyText">
    <w:name w:val="Body Text"/>
    <w:link w:val="BodyTextChar"/>
    <w:qFormat/>
    <w:rsid w:val="00AA0A8A"/>
    <w:pPr>
      <w:widowControl w:val="0"/>
      <w:spacing w:after="120"/>
    </w:pPr>
    <w:rPr>
      <w:rFonts w:eastAsia="Times New Roman" w:cs="Segoe UI"/>
      <w:color w:val="000000"/>
      <w:sz w:val="20"/>
      <w:szCs w:val="20"/>
      <w:lang w:val="en-US" w:eastAsia="en-US"/>
    </w:rPr>
  </w:style>
  <w:style w:type="character" w:customStyle="1" w:styleId="BodyTextChar">
    <w:name w:val="Body Text Char"/>
    <w:basedOn w:val="DefaultParagraphFont"/>
    <w:link w:val="BodyText"/>
    <w:rsid w:val="00AA0A8A"/>
    <w:rPr>
      <w:rFonts w:eastAsia="Times New Roman" w:cs="Segoe UI"/>
      <w:color w:val="000000"/>
      <w:sz w:val="20"/>
      <w:szCs w:val="20"/>
      <w:lang w:val="en-US" w:eastAsia="en-US"/>
    </w:rPr>
  </w:style>
  <w:style w:type="table" w:styleId="GridTable4-Accent5">
    <w:name w:val="Grid Table 4 Accent 5"/>
    <w:basedOn w:val="TableNormal"/>
    <w:uiPriority w:val="49"/>
    <w:rsid w:val="00AA0A8A"/>
    <w:tblPr>
      <w:tblStyleRowBandSize w:val="1"/>
      <w:tblStyleColBandSize w:val="1"/>
      <w:tblBorders>
        <w:top w:val="single" w:sz="4" w:space="0" w:color="AFB7BB" w:themeColor="accent5" w:themeTint="99"/>
        <w:left w:val="single" w:sz="4" w:space="0" w:color="AFB7BB" w:themeColor="accent5" w:themeTint="99"/>
        <w:bottom w:val="single" w:sz="4" w:space="0" w:color="AFB7BB" w:themeColor="accent5" w:themeTint="99"/>
        <w:right w:val="single" w:sz="4" w:space="0" w:color="AFB7BB" w:themeColor="accent5" w:themeTint="99"/>
        <w:insideH w:val="single" w:sz="4" w:space="0" w:color="AFB7BB" w:themeColor="accent5" w:themeTint="99"/>
        <w:insideV w:val="single" w:sz="4" w:space="0" w:color="AFB7BB" w:themeColor="accent5" w:themeTint="99"/>
      </w:tblBorders>
    </w:tblPr>
    <w:tblStylePr w:type="firstRow">
      <w:rPr>
        <w:b/>
        <w:bCs/>
        <w:color w:val="FFFFFF" w:themeColor="background1"/>
      </w:rPr>
      <w:tblPr/>
      <w:tcPr>
        <w:tcBorders>
          <w:top w:val="single" w:sz="4" w:space="0" w:color="7B888F" w:themeColor="accent5"/>
          <w:left w:val="single" w:sz="4" w:space="0" w:color="7B888F" w:themeColor="accent5"/>
          <w:bottom w:val="single" w:sz="4" w:space="0" w:color="7B888F" w:themeColor="accent5"/>
          <w:right w:val="single" w:sz="4" w:space="0" w:color="7B888F" w:themeColor="accent5"/>
          <w:insideH w:val="nil"/>
          <w:insideV w:val="nil"/>
        </w:tcBorders>
        <w:shd w:val="clear" w:color="auto" w:fill="7B888F" w:themeFill="accent5"/>
      </w:tcPr>
    </w:tblStylePr>
    <w:tblStylePr w:type="lastRow">
      <w:rPr>
        <w:b/>
        <w:bCs/>
      </w:rPr>
      <w:tblPr/>
      <w:tcPr>
        <w:tcBorders>
          <w:top w:val="double" w:sz="4" w:space="0" w:color="7B888F" w:themeColor="accent5"/>
        </w:tcBorders>
      </w:tcPr>
    </w:tblStylePr>
    <w:tblStylePr w:type="firstCol">
      <w:rPr>
        <w:b/>
        <w:bCs/>
      </w:rPr>
    </w:tblStylePr>
    <w:tblStylePr w:type="lastCol">
      <w:rPr>
        <w:b/>
        <w:bCs/>
      </w:rPr>
    </w:tblStylePr>
    <w:tblStylePr w:type="band1Vert">
      <w:tblPr/>
      <w:tcPr>
        <w:shd w:val="clear" w:color="auto" w:fill="E4E7E8" w:themeFill="accent5" w:themeFillTint="33"/>
      </w:tcPr>
    </w:tblStylePr>
    <w:tblStylePr w:type="band1Horz">
      <w:tblPr/>
      <w:tcPr>
        <w:shd w:val="clear" w:color="auto" w:fill="E4E7E8" w:themeFill="accent5" w:themeFillTint="33"/>
      </w:tcPr>
    </w:tblStylePr>
  </w:style>
  <w:style w:type="character" w:styleId="Hyperlink">
    <w:name w:val="Hyperlink"/>
    <w:uiPriority w:val="99"/>
    <w:rsid w:val="00AA0A8A"/>
    <w:rPr>
      <w:color w:val="0000FF"/>
      <w:u w:val="single"/>
    </w:rPr>
  </w:style>
  <w:style w:type="character" w:customStyle="1" w:styleId="Heading5Char">
    <w:name w:val="Heading 5 Char"/>
    <w:basedOn w:val="DefaultParagraphFont"/>
    <w:link w:val="Heading5"/>
    <w:uiPriority w:val="4"/>
    <w:rsid w:val="00AA0A8A"/>
    <w:rPr>
      <w:rFonts w:eastAsia="Times New Roman"/>
      <w:bCs/>
      <w:i/>
      <w:iCs/>
      <w:color w:val="00A0AF" w:themeColor="accent1"/>
      <w:sz w:val="20"/>
      <w:szCs w:val="26"/>
      <w:lang w:eastAsia="en-US"/>
    </w:rPr>
  </w:style>
  <w:style w:type="paragraph" w:customStyle="1" w:styleId="Figure">
    <w:name w:val="Figure"/>
    <w:basedOn w:val="Normal"/>
    <w:next w:val="Normal"/>
    <w:uiPriority w:val="6"/>
    <w:qFormat/>
    <w:rsid w:val="00AA0A8A"/>
    <w:pPr>
      <w:numPr>
        <w:numId w:val="32"/>
      </w:numPr>
      <w:jc w:val="center"/>
    </w:pPr>
    <w:rPr>
      <w:b/>
      <w:color w:val="auto"/>
      <w:sz w:val="16"/>
      <w:szCs w:val="22"/>
      <w:lang w:eastAsia="en-US"/>
    </w:rPr>
  </w:style>
  <w:style w:type="character" w:styleId="CommentReference">
    <w:name w:val="annotation reference"/>
    <w:basedOn w:val="DefaultParagraphFont"/>
    <w:uiPriority w:val="99"/>
    <w:semiHidden/>
    <w:unhideWhenUsed/>
    <w:rsid w:val="002B45F3"/>
    <w:rPr>
      <w:sz w:val="16"/>
      <w:szCs w:val="16"/>
    </w:rPr>
  </w:style>
  <w:style w:type="paragraph" w:styleId="CommentText">
    <w:name w:val="annotation text"/>
    <w:basedOn w:val="Normal"/>
    <w:link w:val="CommentTextChar"/>
    <w:uiPriority w:val="99"/>
    <w:unhideWhenUsed/>
    <w:rsid w:val="002B45F3"/>
    <w:rPr>
      <w:sz w:val="20"/>
      <w:szCs w:val="20"/>
    </w:rPr>
  </w:style>
  <w:style w:type="character" w:customStyle="1" w:styleId="CommentTextChar">
    <w:name w:val="Comment Text Char"/>
    <w:basedOn w:val="DefaultParagraphFont"/>
    <w:link w:val="CommentText"/>
    <w:uiPriority w:val="99"/>
    <w:rsid w:val="002B45F3"/>
    <w:rPr>
      <w:sz w:val="20"/>
      <w:szCs w:val="20"/>
    </w:rPr>
  </w:style>
  <w:style w:type="paragraph" w:styleId="CommentSubject">
    <w:name w:val="annotation subject"/>
    <w:basedOn w:val="CommentText"/>
    <w:next w:val="CommentText"/>
    <w:link w:val="CommentSubjectChar"/>
    <w:uiPriority w:val="99"/>
    <w:semiHidden/>
    <w:unhideWhenUsed/>
    <w:rsid w:val="002B45F3"/>
    <w:rPr>
      <w:b/>
      <w:bCs/>
    </w:rPr>
  </w:style>
  <w:style w:type="character" w:customStyle="1" w:styleId="CommentSubjectChar">
    <w:name w:val="Comment Subject Char"/>
    <w:basedOn w:val="CommentTextChar"/>
    <w:link w:val="CommentSubject"/>
    <w:uiPriority w:val="99"/>
    <w:semiHidden/>
    <w:rsid w:val="002B45F3"/>
    <w:rPr>
      <w:b/>
      <w:bCs/>
      <w:sz w:val="20"/>
      <w:szCs w:val="20"/>
    </w:rPr>
  </w:style>
  <w:style w:type="character" w:styleId="UnresolvedMention">
    <w:name w:val="Unresolved Mention"/>
    <w:basedOn w:val="DefaultParagraphFont"/>
    <w:uiPriority w:val="99"/>
    <w:semiHidden/>
    <w:unhideWhenUsed/>
    <w:rsid w:val="00C75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262738">
      <w:bodyDiv w:val="1"/>
      <w:marLeft w:val="0"/>
      <w:marRight w:val="0"/>
      <w:marTop w:val="0"/>
      <w:marBottom w:val="0"/>
      <w:divBdr>
        <w:top w:val="none" w:sz="0" w:space="0" w:color="auto"/>
        <w:left w:val="none" w:sz="0" w:space="0" w:color="auto"/>
        <w:bottom w:val="none" w:sz="0" w:space="0" w:color="auto"/>
        <w:right w:val="none" w:sz="0" w:space="0" w:color="auto"/>
      </w:divBdr>
    </w:div>
    <w:div w:id="1282881519">
      <w:bodyDiv w:val="1"/>
      <w:marLeft w:val="0"/>
      <w:marRight w:val="0"/>
      <w:marTop w:val="0"/>
      <w:marBottom w:val="0"/>
      <w:divBdr>
        <w:top w:val="none" w:sz="0" w:space="0" w:color="auto"/>
        <w:left w:val="none" w:sz="0" w:space="0" w:color="auto"/>
        <w:bottom w:val="none" w:sz="0" w:space="0" w:color="auto"/>
        <w:right w:val="none" w:sz="0" w:space="0" w:color="auto"/>
      </w:divBdr>
    </w:div>
    <w:div w:id="180828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play.google.com/store/apps/details?id=com.wcs.hub2DigitalDocuments&amp;hl=en_GB"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apple.com/us/app/gotechnology-companion-app/id1485718605" TargetMode="Externa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Wood 2020">
      <a:dk1>
        <a:srgbClr val="233845"/>
      </a:dk1>
      <a:lt1>
        <a:srgbClr val="FFFFFF"/>
      </a:lt1>
      <a:dk2>
        <a:srgbClr val="4F606A"/>
      </a:dk2>
      <a:lt2>
        <a:srgbClr val="D3D7DA"/>
      </a:lt2>
      <a:accent1>
        <a:srgbClr val="00A0AF"/>
      </a:accent1>
      <a:accent2>
        <a:srgbClr val="32C3D4"/>
      </a:accent2>
      <a:accent3>
        <a:srgbClr val="233845"/>
      </a:accent3>
      <a:accent4>
        <a:srgbClr val="4F606A"/>
      </a:accent4>
      <a:accent5>
        <a:srgbClr val="7B888F"/>
      </a:accent5>
      <a:accent6>
        <a:srgbClr val="A7AFB5"/>
      </a:accent6>
      <a:hlink>
        <a:srgbClr val="00A0AF"/>
      </a:hlink>
      <a:folHlink>
        <a:srgbClr val="32C3D4"/>
      </a:folHlink>
    </a:clrScheme>
    <a:fontScheme name="Wood 2020">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8eca99-01b7-49a3-93c8-5b5276b58ff5" xsi:nil="true"/>
    <lcf76f155ced4ddcb4097134ff3c332f xmlns="275722e5-9e00-45bb-b0e3-d613061a74e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734B757A36B6745BAE84652F17B76E2" ma:contentTypeVersion="14" ma:contentTypeDescription="Create a new document." ma:contentTypeScope="" ma:versionID="6793d54dcc2d16fd89839197059f999c">
  <xsd:schema xmlns:xsd="http://www.w3.org/2001/XMLSchema" xmlns:xs="http://www.w3.org/2001/XMLSchema" xmlns:p="http://schemas.microsoft.com/office/2006/metadata/properties" xmlns:ns2="275722e5-9e00-45bb-b0e3-d613061a74ed" xmlns:ns3="358eca99-01b7-49a3-93c8-5b5276b58ff5" targetNamespace="http://schemas.microsoft.com/office/2006/metadata/properties" ma:root="true" ma:fieldsID="3894eb397735c422f06b7c967e0c5bcf" ns2:_="" ns3:_="">
    <xsd:import namespace="275722e5-9e00-45bb-b0e3-d613061a74ed"/>
    <xsd:import namespace="358eca99-01b7-49a3-93c8-5b5276b58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722e5-9e00-45bb-b0e3-d613061a7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0b3a9a-9178-4a6d-b079-fdfb03e9f1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8eca99-01b7-49a3-93c8-5b5276b58f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04c74ab-cc2f-45e0-8b1f-7d1ce8fb1e2e}" ma:internalName="TaxCatchAll" ma:showField="CatchAllData" ma:web="358eca99-01b7-49a3-93c8-5b5276b58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FA78A4-B713-4081-9D4E-73365BD7A35D}">
  <ds:schemaRefs>
    <ds:schemaRef ds:uri="http://purl.org/dc/elements/1.1/"/>
    <ds:schemaRef ds:uri="http://schemas.microsoft.com/office/2006/metadata/properties"/>
    <ds:schemaRef ds:uri="http://purl.org/dc/terms/"/>
    <ds:schemaRef ds:uri="http://schemas.openxmlformats.org/package/2006/metadata/core-properties"/>
    <ds:schemaRef ds:uri="275722e5-9e00-45bb-b0e3-d613061a74ed"/>
    <ds:schemaRef ds:uri="http://schemas.microsoft.com/office/2006/documentManagement/types"/>
    <ds:schemaRef ds:uri="http://schemas.microsoft.com/office/infopath/2007/PartnerControls"/>
    <ds:schemaRef ds:uri="358eca99-01b7-49a3-93c8-5b5276b58ff5"/>
    <ds:schemaRef ds:uri="http://www.w3.org/XML/1998/namespace"/>
    <ds:schemaRef ds:uri="http://purl.org/dc/dcmitype/"/>
  </ds:schemaRefs>
</ds:datastoreItem>
</file>

<file path=customXml/itemProps2.xml><?xml version="1.0" encoding="utf-8"?>
<ds:datastoreItem xmlns:ds="http://schemas.openxmlformats.org/officeDocument/2006/customXml" ds:itemID="{067D7D36-3C6B-4CD9-BEBE-A374118463C8}">
  <ds:schemaRefs>
    <ds:schemaRef ds:uri="http://schemas.openxmlformats.org/officeDocument/2006/bibliography"/>
  </ds:schemaRefs>
</ds:datastoreItem>
</file>

<file path=customXml/itemProps3.xml><?xml version="1.0" encoding="utf-8"?>
<ds:datastoreItem xmlns:ds="http://schemas.openxmlformats.org/officeDocument/2006/customXml" ds:itemID="{968B2622-F57F-4983-9C65-EBDA6F19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722e5-9e00-45bb-b0e3-d613061a74ed"/>
    <ds:schemaRef ds:uri="358eca99-01b7-49a3-93c8-5b5276b58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5A4D64-C8DA-45E9-A8E6-299FF4388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7836</TotalTime>
  <Pages>18</Pages>
  <Words>2693</Words>
  <Characters>15354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PSN</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Victoria</dc:creator>
  <cp:lastModifiedBy>Fraser, Victoria</cp:lastModifiedBy>
  <cp:revision>371</cp:revision>
  <cp:lastPrinted>2017-10-03T10:49:00Z</cp:lastPrinted>
  <dcterms:created xsi:type="dcterms:W3CDTF">2023-01-06T16:48:00Z</dcterms:created>
  <dcterms:modified xsi:type="dcterms:W3CDTF">2023-02-24T12:09:00Z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0x010100D734B757A36B6745BAE84652F17B76E2</vt:lpwstr>
  </property>
  <property fmtid="{D5CDD505-2E9C-101B-9397-08002B2CF9AE}" pid="3" name="MediaServiceImageTags">
    <vt:lpwstr/>
  </property>
</Properties>
</file>