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E5345" w14:textId="53A0CC43" w:rsidR="00BE24DC" w:rsidRDefault="00AA0A8A" w:rsidP="00BE24DC">
      <w:pPr>
        <w:pStyle w:val="Covertitle"/>
      </w:pPr>
      <w:r>
        <w:t>V1.</w:t>
      </w:r>
      <w:r w:rsidR="00122820">
        <w:t>44</w:t>
      </w:r>
      <w:r>
        <w:t xml:space="preserve"> Release Notes</w:t>
      </w:r>
    </w:p>
    <w:p w14:paraId="650D379C" w14:textId="780B9962" w:rsidR="00BE24DC" w:rsidRPr="0026164C" w:rsidRDefault="00AA0A8A" w:rsidP="00BE24DC">
      <w:pPr>
        <w:pStyle w:val="Coversubtitle"/>
      </w:pPr>
      <w:r>
        <w:t>GoTechnology hub2</w:t>
      </w:r>
    </w:p>
    <w:p w14:paraId="471B48B1" w14:textId="77777777" w:rsidR="00BE24DC" w:rsidRPr="008228A9" w:rsidRDefault="00BE24DC" w:rsidP="00BE24DC">
      <w:pPr>
        <w:spacing w:after="0"/>
        <w:rPr>
          <w:rFonts w:eastAsia="Times New Roman" w:cs="Tahoma"/>
          <w:b/>
          <w:sz w:val="48"/>
          <w:szCs w:val="20"/>
        </w:rPr>
      </w:pPr>
      <w:r>
        <w:br w:type="page"/>
      </w:r>
    </w:p>
    <w:p w14:paraId="06CCD325" w14:textId="5EF34D72" w:rsidR="0071459A" w:rsidRPr="008B7D6E" w:rsidRDefault="00AA0A8A" w:rsidP="00AA0A8A">
      <w:pPr>
        <w:pStyle w:val="Woodsubhead1-bulletednumberteal"/>
      </w:pPr>
      <w:r>
        <w:lastRenderedPageBreak/>
        <w:t>About this Document</w:t>
      </w:r>
    </w:p>
    <w:p w14:paraId="7ACCF1FB" w14:textId="33F97A5C" w:rsidR="0071459A" w:rsidRDefault="00AA0A8A" w:rsidP="008B7D6E">
      <w:pPr>
        <w:pStyle w:val="Woodsubheading2grey"/>
      </w:pPr>
      <w:r>
        <w:t>Purpose</w:t>
      </w:r>
    </w:p>
    <w:p w14:paraId="623D527E" w14:textId="69B118FA" w:rsidR="00AA0A8A" w:rsidRDefault="00AA0A8A" w:rsidP="00AA0A8A">
      <w:pPr>
        <w:pStyle w:val="WoodBody"/>
      </w:pPr>
      <w:r>
        <w:t>This document provides a brief overview of the changes made between V1.</w:t>
      </w:r>
      <w:r w:rsidR="00122820">
        <w:t>43.</w:t>
      </w:r>
      <w:r w:rsidR="001C33C4">
        <w:t>2</w:t>
      </w:r>
      <w:r>
        <w:t xml:space="preserve"> and V1.</w:t>
      </w:r>
      <w:r w:rsidR="00122820">
        <w:t>44</w:t>
      </w:r>
      <w:r>
        <w:t xml:space="preserve"> of GoTechnology hub2, along with where further details of each change can be found within the updated functional specification, in addition to a listing of completed bug fixes and known issues.</w:t>
      </w:r>
    </w:p>
    <w:p w14:paraId="1B3C6821" w14:textId="3A9161EF" w:rsidR="00AA0A8A" w:rsidRDefault="00AA0A8A" w:rsidP="00AA0A8A">
      <w:pPr>
        <w:pStyle w:val="Woodsubhead1-bulletednumberteal"/>
      </w:pPr>
      <w:r>
        <w:t>Fixed Issues</w:t>
      </w:r>
    </w:p>
    <w:p w14:paraId="17E6458E" w14:textId="32C89B33" w:rsidR="002C16F7" w:rsidRDefault="00AA0A8A" w:rsidP="00AA0A8A">
      <w:pPr>
        <w:pStyle w:val="WoodBody"/>
      </w:pPr>
      <w:r>
        <w:t>The following issues have been fixed in version 1.</w:t>
      </w:r>
      <w:r w:rsidR="00122820">
        <w:t>44</w:t>
      </w:r>
      <w:r>
        <w:t xml:space="preserve"> of hub2</w:t>
      </w:r>
    </w:p>
    <w:tbl>
      <w:tblPr>
        <w:tblStyle w:val="GridTable4-Accent5"/>
        <w:tblpPr w:leftFromText="180" w:rightFromText="180" w:vertAnchor="text" w:tblpY="1"/>
        <w:tblOverlap w:val="never"/>
        <w:tblW w:w="10031" w:type="dxa"/>
        <w:tblLook w:val="0420" w:firstRow="1" w:lastRow="0" w:firstColumn="0" w:lastColumn="0" w:noHBand="0" w:noVBand="1"/>
      </w:tblPr>
      <w:tblGrid>
        <w:gridCol w:w="841"/>
        <w:gridCol w:w="2551"/>
        <w:gridCol w:w="6639"/>
      </w:tblGrid>
      <w:tr w:rsidR="00AA0A8A" w:rsidRPr="00F426FD" w14:paraId="42F68905" w14:textId="77777777" w:rsidTr="002C16F7">
        <w:trPr>
          <w:cnfStyle w:val="100000000000" w:firstRow="1" w:lastRow="0" w:firstColumn="0" w:lastColumn="0" w:oddVBand="0" w:evenVBand="0" w:oddHBand="0" w:evenHBand="0" w:firstRowFirstColumn="0" w:firstRowLastColumn="0" w:lastRowFirstColumn="0" w:lastRowLastColumn="0"/>
        </w:trPr>
        <w:tc>
          <w:tcPr>
            <w:tcW w:w="841" w:type="dxa"/>
          </w:tcPr>
          <w:p w14:paraId="3E7D509F" w14:textId="77777777" w:rsidR="00AA0A8A" w:rsidRPr="00F426FD" w:rsidRDefault="00AA0A8A" w:rsidP="002C16F7">
            <w:pPr>
              <w:pStyle w:val="BodyText"/>
              <w:rPr>
                <w:color w:val="FFFFFF" w:themeColor="background1"/>
              </w:rPr>
            </w:pPr>
            <w:r w:rsidRPr="00F426FD">
              <w:rPr>
                <w:color w:val="FFFFFF" w:themeColor="background1"/>
              </w:rPr>
              <w:t>Case</w:t>
            </w:r>
          </w:p>
        </w:tc>
        <w:tc>
          <w:tcPr>
            <w:tcW w:w="2551" w:type="dxa"/>
          </w:tcPr>
          <w:p w14:paraId="688AB954" w14:textId="77777777" w:rsidR="00AA0A8A" w:rsidRPr="00F426FD" w:rsidRDefault="00AA0A8A" w:rsidP="002C16F7">
            <w:pPr>
              <w:pStyle w:val="BodyText"/>
              <w:rPr>
                <w:color w:val="FFFFFF" w:themeColor="background1"/>
              </w:rPr>
            </w:pPr>
            <w:r w:rsidRPr="00F426FD">
              <w:rPr>
                <w:color w:val="FFFFFF" w:themeColor="background1"/>
              </w:rPr>
              <w:t>Title [sic]</w:t>
            </w:r>
          </w:p>
        </w:tc>
        <w:tc>
          <w:tcPr>
            <w:tcW w:w="6639" w:type="dxa"/>
          </w:tcPr>
          <w:p w14:paraId="2CF4B5FD" w14:textId="77777777" w:rsidR="00AA0A8A" w:rsidRPr="00F426FD" w:rsidRDefault="00AA0A8A" w:rsidP="002C16F7">
            <w:pPr>
              <w:pStyle w:val="BodyText"/>
              <w:rPr>
                <w:color w:val="FFFFFF" w:themeColor="background1"/>
              </w:rPr>
            </w:pPr>
            <w:r w:rsidRPr="00F426FD">
              <w:rPr>
                <w:color w:val="FFFFFF" w:themeColor="background1"/>
              </w:rPr>
              <w:t>Details</w:t>
            </w:r>
          </w:p>
        </w:tc>
      </w:tr>
      <w:tr w:rsidR="0083305C" w:rsidRPr="00F426FD" w14:paraId="6CCFE37A" w14:textId="77777777" w:rsidTr="002C16F7">
        <w:trPr>
          <w:cnfStyle w:val="000000100000" w:firstRow="0" w:lastRow="0" w:firstColumn="0" w:lastColumn="0" w:oddVBand="0" w:evenVBand="0" w:oddHBand="1" w:evenHBand="0" w:firstRowFirstColumn="0" w:firstRowLastColumn="0" w:lastRowFirstColumn="0" w:lastRowLastColumn="0"/>
        </w:trPr>
        <w:tc>
          <w:tcPr>
            <w:tcW w:w="841" w:type="dxa"/>
          </w:tcPr>
          <w:p w14:paraId="4AF79762" w14:textId="77777777" w:rsidR="0083305C" w:rsidRDefault="0083305C" w:rsidP="002C16F7">
            <w:pPr>
              <w:rPr>
                <w:rFonts w:cs="Segoe UI"/>
                <w:szCs w:val="20"/>
              </w:rPr>
            </w:pPr>
            <w:r w:rsidRPr="0016310A">
              <w:rPr>
                <w:rFonts w:cs="Segoe UI"/>
                <w:szCs w:val="20"/>
              </w:rPr>
              <w:t>90190</w:t>
            </w:r>
          </w:p>
          <w:p w14:paraId="06F3640E" w14:textId="5DA0B725" w:rsidR="0083305C" w:rsidRPr="00F426FD" w:rsidRDefault="0083305C" w:rsidP="002C16F7">
            <w:pPr>
              <w:rPr>
                <w:rFonts w:cs="Segoe UI"/>
                <w:szCs w:val="20"/>
              </w:rPr>
            </w:pPr>
          </w:p>
        </w:tc>
        <w:tc>
          <w:tcPr>
            <w:tcW w:w="2551" w:type="dxa"/>
          </w:tcPr>
          <w:p w14:paraId="42521B64" w14:textId="5907A3B9" w:rsidR="0083305C" w:rsidRPr="00F426FD" w:rsidRDefault="0083305C" w:rsidP="002C16F7">
            <w:pPr>
              <w:rPr>
                <w:rFonts w:cs="Segoe UI"/>
                <w:szCs w:val="20"/>
              </w:rPr>
            </w:pPr>
            <w:r>
              <w:rPr>
                <w:rFonts w:cs="Segoe UI"/>
                <w:szCs w:val="20"/>
              </w:rPr>
              <w:t>Handover Reports including Handovers from other Level Es</w:t>
            </w:r>
          </w:p>
        </w:tc>
        <w:tc>
          <w:tcPr>
            <w:tcW w:w="6639" w:type="dxa"/>
          </w:tcPr>
          <w:p w14:paraId="62F1AEE8" w14:textId="1520DB48" w:rsidR="0083305C" w:rsidRPr="00F426FD" w:rsidRDefault="0083305C" w:rsidP="002C16F7">
            <w:pPr>
              <w:rPr>
                <w:rFonts w:cs="Segoe UI"/>
                <w:szCs w:val="20"/>
              </w:rPr>
            </w:pPr>
            <w:r>
              <w:rPr>
                <w:rFonts w:cs="Segoe UI"/>
                <w:szCs w:val="20"/>
              </w:rPr>
              <w:t>Handover Summary Reports were displaying Handovers that were specific to the Level where the Report was created. This has now been changed so that the Handovers displayed in the Report are specific to the Level that the user is in when the report is generated.</w:t>
            </w:r>
          </w:p>
        </w:tc>
      </w:tr>
      <w:tr w:rsidR="0083305C" w:rsidRPr="00F426FD" w14:paraId="4671274D" w14:textId="77777777" w:rsidTr="002C16F7">
        <w:tc>
          <w:tcPr>
            <w:tcW w:w="841" w:type="dxa"/>
          </w:tcPr>
          <w:p w14:paraId="28C845B2" w14:textId="77777777" w:rsidR="0083305C" w:rsidRDefault="0083305C" w:rsidP="002C16F7">
            <w:pPr>
              <w:rPr>
                <w:rFonts w:cs="Segoe UI"/>
                <w:szCs w:val="20"/>
              </w:rPr>
            </w:pPr>
            <w:r w:rsidRPr="0016310A">
              <w:rPr>
                <w:rFonts w:cs="Segoe UI"/>
                <w:szCs w:val="20"/>
              </w:rPr>
              <w:t>90821</w:t>
            </w:r>
          </w:p>
          <w:p w14:paraId="5A6D26B6" w14:textId="7BDC9370" w:rsidR="0083305C" w:rsidRPr="008414BE" w:rsidRDefault="0083305C" w:rsidP="002C16F7">
            <w:pPr>
              <w:rPr>
                <w:rFonts w:cs="Segoe UI"/>
                <w:szCs w:val="20"/>
              </w:rPr>
            </w:pPr>
          </w:p>
        </w:tc>
        <w:tc>
          <w:tcPr>
            <w:tcW w:w="2551" w:type="dxa"/>
          </w:tcPr>
          <w:p w14:paraId="2872F0A8" w14:textId="2E8124B7" w:rsidR="0083305C" w:rsidRDefault="0083305C" w:rsidP="002C16F7">
            <w:pPr>
              <w:rPr>
                <w:rFonts w:cs="Segoe UI"/>
                <w:szCs w:val="20"/>
              </w:rPr>
            </w:pPr>
            <w:r>
              <w:rPr>
                <w:rFonts w:cs="Segoe UI"/>
                <w:szCs w:val="20"/>
              </w:rPr>
              <w:t>Old values missing in PLI import results file</w:t>
            </w:r>
          </w:p>
        </w:tc>
        <w:tc>
          <w:tcPr>
            <w:tcW w:w="6639" w:type="dxa"/>
          </w:tcPr>
          <w:p w14:paraId="5C871D05" w14:textId="2B6A3BE6" w:rsidR="0083305C" w:rsidRDefault="0083305C" w:rsidP="002C16F7">
            <w:pPr>
              <w:rPr>
                <w:rFonts w:cs="Segoe UI"/>
                <w:szCs w:val="20"/>
              </w:rPr>
            </w:pPr>
            <w:r>
              <w:rPr>
                <w:rFonts w:cs="Segoe UI"/>
                <w:szCs w:val="20"/>
              </w:rPr>
              <w:t>Fields that were being changed during a PLI import were highlighted in orange in the import results file but the values themselves were not being displayed. This has been corrected and the old values are now shown.</w:t>
            </w:r>
          </w:p>
        </w:tc>
      </w:tr>
      <w:tr w:rsidR="00BF5185" w:rsidRPr="00F426FD" w14:paraId="3000494B" w14:textId="77777777" w:rsidTr="002C16F7">
        <w:trPr>
          <w:cnfStyle w:val="000000100000" w:firstRow="0" w:lastRow="0" w:firstColumn="0" w:lastColumn="0" w:oddVBand="0" w:evenVBand="0" w:oddHBand="1" w:evenHBand="0" w:firstRowFirstColumn="0" w:firstRowLastColumn="0" w:lastRowFirstColumn="0" w:lastRowLastColumn="0"/>
        </w:trPr>
        <w:tc>
          <w:tcPr>
            <w:tcW w:w="841" w:type="dxa"/>
          </w:tcPr>
          <w:p w14:paraId="5701337C" w14:textId="77777777" w:rsidR="00BF5185" w:rsidRDefault="00BF5185" w:rsidP="002C16F7">
            <w:pPr>
              <w:rPr>
                <w:rFonts w:cs="Segoe UI"/>
                <w:szCs w:val="20"/>
              </w:rPr>
            </w:pPr>
            <w:r w:rsidRPr="00B152B1">
              <w:rPr>
                <w:rFonts w:cs="Segoe UI"/>
                <w:szCs w:val="20"/>
              </w:rPr>
              <w:t>90839</w:t>
            </w:r>
          </w:p>
          <w:p w14:paraId="30A9DD6E" w14:textId="408AFE14" w:rsidR="00BF5185" w:rsidRPr="0016310A" w:rsidRDefault="00BF5185" w:rsidP="002C16F7">
            <w:pPr>
              <w:rPr>
                <w:rFonts w:cs="Segoe UI"/>
                <w:szCs w:val="20"/>
              </w:rPr>
            </w:pPr>
          </w:p>
        </w:tc>
        <w:tc>
          <w:tcPr>
            <w:tcW w:w="2551" w:type="dxa"/>
          </w:tcPr>
          <w:p w14:paraId="7FA097AE" w14:textId="5FA575B6" w:rsidR="00BF5185" w:rsidRDefault="00BF5185" w:rsidP="002C16F7">
            <w:pPr>
              <w:rPr>
                <w:rFonts w:cs="Segoe UI"/>
                <w:szCs w:val="20"/>
              </w:rPr>
            </w:pPr>
            <w:r>
              <w:rPr>
                <w:rFonts w:cs="Segoe UI"/>
                <w:szCs w:val="20"/>
              </w:rPr>
              <w:t>Scheduled Reports are always in Portrait format</w:t>
            </w:r>
          </w:p>
        </w:tc>
        <w:tc>
          <w:tcPr>
            <w:tcW w:w="6639" w:type="dxa"/>
          </w:tcPr>
          <w:p w14:paraId="4EE7DC6E" w14:textId="69A1BFE6" w:rsidR="00BF5185" w:rsidRDefault="00BF5185" w:rsidP="002C16F7">
            <w:pPr>
              <w:rPr>
                <w:rFonts w:cs="Segoe UI"/>
                <w:szCs w:val="20"/>
              </w:rPr>
            </w:pPr>
            <w:r>
              <w:rPr>
                <w:rFonts w:cs="Segoe UI"/>
                <w:szCs w:val="20"/>
              </w:rPr>
              <w:t>Scheduled Reports were always being generated in Portrait format which is often not the best format for the data. This has been changed so that the default format for all Scheduled Reports is now landscape pages.</w:t>
            </w:r>
          </w:p>
        </w:tc>
      </w:tr>
      <w:tr w:rsidR="00BF5185" w:rsidRPr="00F426FD" w14:paraId="47C9A6D9" w14:textId="77777777" w:rsidTr="002C16F7">
        <w:tc>
          <w:tcPr>
            <w:tcW w:w="841" w:type="dxa"/>
          </w:tcPr>
          <w:p w14:paraId="641FD858" w14:textId="77777777" w:rsidR="00BF5185" w:rsidRDefault="00BF5185" w:rsidP="002C16F7">
            <w:pPr>
              <w:rPr>
                <w:rFonts w:cs="Segoe UI"/>
                <w:szCs w:val="20"/>
              </w:rPr>
            </w:pPr>
            <w:r w:rsidRPr="0016310A">
              <w:rPr>
                <w:rFonts w:cs="Segoe UI"/>
                <w:szCs w:val="20"/>
              </w:rPr>
              <w:t>92387</w:t>
            </w:r>
          </w:p>
          <w:p w14:paraId="164A17C4" w14:textId="51C84CA2" w:rsidR="00BF5185" w:rsidRPr="00B152B1" w:rsidRDefault="00BF5185" w:rsidP="002C16F7">
            <w:pPr>
              <w:rPr>
                <w:rFonts w:cs="Segoe UI"/>
                <w:szCs w:val="20"/>
              </w:rPr>
            </w:pPr>
          </w:p>
        </w:tc>
        <w:tc>
          <w:tcPr>
            <w:tcW w:w="2551" w:type="dxa"/>
          </w:tcPr>
          <w:p w14:paraId="337E7A75" w14:textId="1BFEEAE1" w:rsidR="00BF5185" w:rsidRDefault="00BF5185" w:rsidP="002C16F7">
            <w:pPr>
              <w:rPr>
                <w:rFonts w:cs="Segoe UI"/>
                <w:szCs w:val="20"/>
              </w:rPr>
            </w:pPr>
            <w:r>
              <w:rPr>
                <w:rFonts w:cs="Segoe UI"/>
                <w:szCs w:val="20"/>
              </w:rPr>
              <w:t>PLI Auto-numbering not specific to a Level E</w:t>
            </w:r>
          </w:p>
        </w:tc>
        <w:tc>
          <w:tcPr>
            <w:tcW w:w="6639" w:type="dxa"/>
          </w:tcPr>
          <w:p w14:paraId="162C97D6" w14:textId="1D856ABE" w:rsidR="00BF5185" w:rsidRDefault="00BF5185" w:rsidP="002C16F7">
            <w:pPr>
              <w:rPr>
                <w:rFonts w:cs="Segoe UI"/>
                <w:szCs w:val="20"/>
              </w:rPr>
            </w:pPr>
            <w:r>
              <w:rPr>
                <w:rFonts w:cs="Segoe UI"/>
                <w:szCs w:val="20"/>
              </w:rPr>
              <w:t xml:space="preserve">The PLI auto-numbering feature was using the next unused number within the same Level D. This has been changed to use the next unused number within the same Level E. </w:t>
            </w:r>
          </w:p>
        </w:tc>
      </w:tr>
      <w:tr w:rsidR="00BF5185" w:rsidRPr="00F426FD" w14:paraId="32EF1FD4" w14:textId="77777777" w:rsidTr="002C16F7">
        <w:trPr>
          <w:cnfStyle w:val="000000100000" w:firstRow="0" w:lastRow="0" w:firstColumn="0" w:lastColumn="0" w:oddVBand="0" w:evenVBand="0" w:oddHBand="1" w:evenHBand="0" w:firstRowFirstColumn="0" w:firstRowLastColumn="0" w:lastRowFirstColumn="0" w:lastRowLastColumn="0"/>
        </w:trPr>
        <w:tc>
          <w:tcPr>
            <w:tcW w:w="841" w:type="dxa"/>
          </w:tcPr>
          <w:p w14:paraId="357173B5" w14:textId="77777777" w:rsidR="00A6427D" w:rsidRDefault="00BF5185" w:rsidP="002C16F7">
            <w:pPr>
              <w:rPr>
                <w:rFonts w:cs="Segoe UI"/>
                <w:szCs w:val="20"/>
              </w:rPr>
            </w:pPr>
            <w:r w:rsidRPr="00D43CD4">
              <w:rPr>
                <w:rFonts w:cs="Segoe UI"/>
                <w:szCs w:val="20"/>
              </w:rPr>
              <w:t>92695</w:t>
            </w:r>
          </w:p>
          <w:p w14:paraId="619A1D2D" w14:textId="1AF6A318" w:rsidR="00A6427D" w:rsidRDefault="00A6427D" w:rsidP="002C16F7">
            <w:pPr>
              <w:rPr>
                <w:rFonts w:cs="Segoe UI"/>
                <w:szCs w:val="20"/>
              </w:rPr>
            </w:pPr>
            <w:r>
              <w:rPr>
                <w:rFonts w:cs="Segoe UI"/>
                <w:szCs w:val="20"/>
              </w:rPr>
              <w:t>94191</w:t>
            </w:r>
          </w:p>
          <w:p w14:paraId="0D55B014" w14:textId="450D5197" w:rsidR="00A6427D" w:rsidRPr="00D43CD4" w:rsidRDefault="00A6427D" w:rsidP="002C16F7">
            <w:pPr>
              <w:rPr>
                <w:rFonts w:cs="Segoe UI"/>
                <w:szCs w:val="20"/>
              </w:rPr>
            </w:pPr>
          </w:p>
        </w:tc>
        <w:tc>
          <w:tcPr>
            <w:tcW w:w="2551" w:type="dxa"/>
          </w:tcPr>
          <w:p w14:paraId="2B50B09B" w14:textId="2D74961D" w:rsidR="00BF5185" w:rsidRDefault="00BF5185" w:rsidP="002C16F7">
            <w:pPr>
              <w:rPr>
                <w:rFonts w:cs="Segoe UI"/>
                <w:szCs w:val="20"/>
              </w:rPr>
            </w:pPr>
            <w:r>
              <w:rPr>
                <w:rFonts w:cs="Segoe UI"/>
                <w:szCs w:val="20"/>
              </w:rPr>
              <w:t>“Could not download report” message on a Handover Report</w:t>
            </w:r>
          </w:p>
        </w:tc>
        <w:tc>
          <w:tcPr>
            <w:tcW w:w="6639" w:type="dxa"/>
          </w:tcPr>
          <w:p w14:paraId="5193ECC5" w14:textId="213FE12C" w:rsidR="00BF5185" w:rsidRDefault="00BF5185" w:rsidP="002C16F7">
            <w:pPr>
              <w:rPr>
                <w:rFonts w:cs="Segoe UI"/>
                <w:szCs w:val="20"/>
              </w:rPr>
            </w:pPr>
            <w:r>
              <w:rPr>
                <w:rFonts w:cs="Segoe UI"/>
                <w:szCs w:val="20"/>
              </w:rPr>
              <w:t xml:space="preserve">Some Handover Reports without filters applied would display a “Could not download report” message when Run PDF or Run Excel button was clicked. </w:t>
            </w:r>
            <w:r w:rsidR="0072084B">
              <w:rPr>
                <w:rFonts w:cs="Segoe UI"/>
                <w:szCs w:val="20"/>
              </w:rPr>
              <w:t xml:space="preserve">This was due to the presence of duplicate Handover records. A fix has been added to </w:t>
            </w:r>
            <w:r w:rsidR="00AA604E">
              <w:rPr>
                <w:rFonts w:cs="Segoe UI"/>
                <w:szCs w:val="20"/>
              </w:rPr>
              <w:t xml:space="preserve">prevent the creation of </w:t>
            </w:r>
            <w:r w:rsidR="00B567AD">
              <w:rPr>
                <w:rFonts w:cs="Segoe UI"/>
                <w:szCs w:val="20"/>
              </w:rPr>
              <w:t>duplicate Handovers.</w:t>
            </w:r>
          </w:p>
        </w:tc>
      </w:tr>
      <w:tr w:rsidR="00491969" w:rsidRPr="00F426FD" w14:paraId="0EE0835D" w14:textId="77777777" w:rsidTr="002C16F7">
        <w:tc>
          <w:tcPr>
            <w:tcW w:w="841" w:type="dxa"/>
          </w:tcPr>
          <w:p w14:paraId="41882350" w14:textId="7151F14E" w:rsidR="00491969" w:rsidRPr="00D43CD4" w:rsidRDefault="00491969" w:rsidP="002C16F7">
            <w:pPr>
              <w:rPr>
                <w:rFonts w:cs="Segoe UI"/>
                <w:szCs w:val="20"/>
              </w:rPr>
            </w:pPr>
            <w:r w:rsidRPr="00491969">
              <w:rPr>
                <w:rFonts w:cs="Segoe UI"/>
                <w:szCs w:val="20"/>
              </w:rPr>
              <w:t>92859</w:t>
            </w:r>
          </w:p>
        </w:tc>
        <w:tc>
          <w:tcPr>
            <w:tcW w:w="2551" w:type="dxa"/>
          </w:tcPr>
          <w:p w14:paraId="1EBF9C37" w14:textId="02771E0D" w:rsidR="00491969" w:rsidRDefault="001D1A72" w:rsidP="002C16F7">
            <w:pPr>
              <w:rPr>
                <w:rFonts w:cs="Segoe UI"/>
                <w:szCs w:val="20"/>
              </w:rPr>
            </w:pPr>
            <w:r>
              <w:rPr>
                <w:rFonts w:cs="Segoe UI"/>
                <w:szCs w:val="20"/>
              </w:rPr>
              <w:t>Punch List Items export error message</w:t>
            </w:r>
          </w:p>
        </w:tc>
        <w:tc>
          <w:tcPr>
            <w:tcW w:w="6639" w:type="dxa"/>
          </w:tcPr>
          <w:p w14:paraId="37D8AFE4" w14:textId="156814DD" w:rsidR="00491969" w:rsidRDefault="00876B41" w:rsidP="002C16F7">
            <w:pPr>
              <w:rPr>
                <w:rFonts w:cs="Segoe UI"/>
                <w:szCs w:val="20"/>
              </w:rPr>
            </w:pPr>
            <w:r>
              <w:rPr>
                <w:rFonts w:cs="Segoe UI"/>
                <w:szCs w:val="20"/>
              </w:rPr>
              <w:t>Some Punch List Item</w:t>
            </w:r>
            <w:r w:rsidR="00533E35">
              <w:rPr>
                <w:rFonts w:cs="Segoe UI"/>
                <w:szCs w:val="20"/>
              </w:rPr>
              <w:t>s</w:t>
            </w:r>
            <w:r>
              <w:rPr>
                <w:rFonts w:cs="Segoe UI"/>
                <w:szCs w:val="20"/>
              </w:rPr>
              <w:t xml:space="preserve"> </w:t>
            </w:r>
            <w:r w:rsidR="00533E35">
              <w:rPr>
                <w:rFonts w:cs="Segoe UI"/>
                <w:szCs w:val="20"/>
              </w:rPr>
              <w:t>were</w:t>
            </w:r>
            <w:r>
              <w:rPr>
                <w:rFonts w:cs="Segoe UI"/>
                <w:szCs w:val="20"/>
              </w:rPr>
              <w:t xml:space="preserve"> failing to export due to the presence of </w:t>
            </w:r>
            <w:r w:rsidR="004E70A5">
              <w:rPr>
                <w:rFonts w:cs="Segoe UI"/>
                <w:szCs w:val="20"/>
              </w:rPr>
              <w:t xml:space="preserve">an </w:t>
            </w:r>
            <w:r>
              <w:rPr>
                <w:rFonts w:cs="Segoe UI"/>
                <w:szCs w:val="20"/>
              </w:rPr>
              <w:t>unusual character</w:t>
            </w:r>
            <w:r w:rsidR="00425B0C">
              <w:rPr>
                <w:rFonts w:cs="Segoe UI"/>
                <w:szCs w:val="20"/>
              </w:rPr>
              <w:t xml:space="preserve"> </w:t>
            </w:r>
            <w:r w:rsidR="00425B0C">
              <w:rPr>
                <w:rFonts w:ascii="Calibri" w:hAnsi="Calibri" w:cs="Calibri"/>
                <w:color w:val="000000"/>
                <w:sz w:val="22"/>
                <w:szCs w:val="22"/>
                <w:shd w:val="clear" w:color="auto" w:fill="FFFFFF"/>
              </w:rPr>
              <w:t>'</w:t>
            </w:r>
            <w:r w:rsidR="00425B0C">
              <w:rPr>
                <w:rFonts w:ascii="Wingdings 2" w:hAnsi="Wingdings 2"/>
                <w:color w:val="000000"/>
                <w:sz w:val="22"/>
                <w:szCs w:val="22"/>
                <w:shd w:val="clear" w:color="auto" w:fill="FFFFFF"/>
              </w:rPr>
              <w:t>T</w:t>
            </w:r>
            <w:r w:rsidR="00425B0C">
              <w:rPr>
                <w:rFonts w:ascii="Calibri" w:hAnsi="Calibri" w:cs="Calibri"/>
                <w:color w:val="000000"/>
                <w:sz w:val="22"/>
                <w:szCs w:val="22"/>
                <w:shd w:val="clear" w:color="auto" w:fill="FFFFFF"/>
              </w:rPr>
              <w:t>' </w:t>
            </w:r>
            <w:r>
              <w:rPr>
                <w:rFonts w:cs="Segoe UI"/>
                <w:szCs w:val="20"/>
              </w:rPr>
              <w:t>in the Description field</w:t>
            </w:r>
            <w:r w:rsidR="00425B0C">
              <w:rPr>
                <w:rFonts w:cs="Segoe UI"/>
                <w:szCs w:val="20"/>
              </w:rPr>
              <w:t>,</w:t>
            </w:r>
            <w:r>
              <w:rPr>
                <w:rFonts w:cs="Segoe UI"/>
                <w:szCs w:val="20"/>
              </w:rPr>
              <w:t xml:space="preserve"> which could not be </w:t>
            </w:r>
            <w:r w:rsidR="00533E35">
              <w:rPr>
                <w:rFonts w:cs="Segoe UI"/>
                <w:szCs w:val="20"/>
              </w:rPr>
              <w:t>understood by</w:t>
            </w:r>
            <w:r>
              <w:rPr>
                <w:rFonts w:cs="Segoe UI"/>
                <w:szCs w:val="20"/>
              </w:rPr>
              <w:t xml:space="preserve"> Excel. </w:t>
            </w:r>
            <w:r w:rsidR="006A3A17">
              <w:rPr>
                <w:rFonts w:cs="Segoe UI"/>
                <w:szCs w:val="20"/>
              </w:rPr>
              <w:t>This has been improved so that a message is now displayed listing any characters than cannot be exported to Excel</w:t>
            </w:r>
            <w:r w:rsidR="00533E35">
              <w:rPr>
                <w:rFonts w:cs="Segoe UI"/>
                <w:szCs w:val="20"/>
              </w:rPr>
              <w:t>. These can then</w:t>
            </w:r>
            <w:r w:rsidR="006A3A17">
              <w:rPr>
                <w:rFonts w:cs="Segoe UI"/>
                <w:szCs w:val="20"/>
              </w:rPr>
              <w:t xml:space="preserve"> be removed</w:t>
            </w:r>
            <w:r w:rsidR="002767D6">
              <w:rPr>
                <w:rFonts w:cs="Segoe UI"/>
                <w:szCs w:val="20"/>
              </w:rPr>
              <w:t>,</w:t>
            </w:r>
            <w:r w:rsidR="006A3A17">
              <w:rPr>
                <w:rFonts w:cs="Segoe UI"/>
                <w:szCs w:val="20"/>
              </w:rPr>
              <w:t xml:space="preserve"> and the export run successfully.</w:t>
            </w:r>
          </w:p>
        </w:tc>
      </w:tr>
      <w:tr w:rsidR="008E24D1" w:rsidRPr="00F426FD" w14:paraId="20025527" w14:textId="77777777" w:rsidTr="002C16F7">
        <w:trPr>
          <w:cnfStyle w:val="000000100000" w:firstRow="0" w:lastRow="0" w:firstColumn="0" w:lastColumn="0" w:oddVBand="0" w:evenVBand="0" w:oddHBand="1" w:evenHBand="0" w:firstRowFirstColumn="0" w:firstRowLastColumn="0" w:lastRowFirstColumn="0" w:lastRowLastColumn="0"/>
        </w:trPr>
        <w:tc>
          <w:tcPr>
            <w:tcW w:w="841" w:type="dxa"/>
          </w:tcPr>
          <w:p w14:paraId="28FFEC4C" w14:textId="0D5443D3" w:rsidR="008E24D1" w:rsidRPr="00491969" w:rsidRDefault="008E24D1" w:rsidP="002C16F7">
            <w:pPr>
              <w:rPr>
                <w:rFonts w:cs="Segoe UI"/>
                <w:szCs w:val="20"/>
              </w:rPr>
            </w:pPr>
            <w:r w:rsidRPr="008E24D1">
              <w:rPr>
                <w:rFonts w:cs="Segoe UI"/>
                <w:szCs w:val="20"/>
              </w:rPr>
              <w:t>93170</w:t>
            </w:r>
          </w:p>
        </w:tc>
        <w:tc>
          <w:tcPr>
            <w:tcW w:w="2551" w:type="dxa"/>
          </w:tcPr>
          <w:p w14:paraId="7D18DE19" w14:textId="3B45366D" w:rsidR="008E24D1" w:rsidRDefault="008E24D1" w:rsidP="002C16F7">
            <w:pPr>
              <w:rPr>
                <w:rFonts w:cs="Segoe UI"/>
                <w:szCs w:val="20"/>
              </w:rPr>
            </w:pPr>
            <w:r>
              <w:rPr>
                <w:rFonts w:cs="Segoe UI"/>
                <w:szCs w:val="20"/>
              </w:rPr>
              <w:t>Logos not includ</w:t>
            </w:r>
            <w:r w:rsidR="0012241B">
              <w:rPr>
                <w:rFonts w:cs="Segoe UI"/>
                <w:szCs w:val="20"/>
              </w:rPr>
              <w:t>ed on generated Process document</w:t>
            </w:r>
          </w:p>
        </w:tc>
        <w:tc>
          <w:tcPr>
            <w:tcW w:w="6639" w:type="dxa"/>
          </w:tcPr>
          <w:p w14:paraId="3E0D51A7" w14:textId="6A6B8153" w:rsidR="008E24D1" w:rsidRDefault="00463043" w:rsidP="002C16F7">
            <w:pPr>
              <w:rPr>
                <w:rFonts w:cs="Segoe UI"/>
                <w:szCs w:val="20"/>
              </w:rPr>
            </w:pPr>
            <w:r>
              <w:rPr>
                <w:rFonts w:cs="Segoe UI"/>
                <w:szCs w:val="20"/>
              </w:rPr>
              <w:t>Process PDFs did not include the logos that are set on Level C. Th</w:t>
            </w:r>
            <w:r w:rsidR="00A01A45">
              <w:rPr>
                <w:rFonts w:cs="Segoe UI"/>
                <w:szCs w:val="20"/>
              </w:rPr>
              <w:t>is has been modified to display the logos in the PDFs.</w:t>
            </w:r>
          </w:p>
        </w:tc>
      </w:tr>
      <w:tr w:rsidR="00BF5185" w:rsidRPr="00F426FD" w14:paraId="34971E5D" w14:textId="77777777" w:rsidTr="002C16F7">
        <w:tc>
          <w:tcPr>
            <w:tcW w:w="841" w:type="dxa"/>
          </w:tcPr>
          <w:p w14:paraId="77B3FC2E" w14:textId="77777777" w:rsidR="00BF5185" w:rsidRDefault="00BF5185" w:rsidP="002C16F7">
            <w:pPr>
              <w:rPr>
                <w:rFonts w:cs="Segoe UI"/>
                <w:szCs w:val="20"/>
              </w:rPr>
            </w:pPr>
            <w:r w:rsidRPr="0016310A">
              <w:rPr>
                <w:rFonts w:cs="Segoe UI"/>
                <w:szCs w:val="20"/>
              </w:rPr>
              <w:t>93176</w:t>
            </w:r>
          </w:p>
          <w:p w14:paraId="296FB03B" w14:textId="25DC1C35" w:rsidR="00BF5185" w:rsidRPr="00F426FD" w:rsidRDefault="00BF5185" w:rsidP="002C16F7">
            <w:pPr>
              <w:rPr>
                <w:rFonts w:cs="Segoe UI"/>
                <w:szCs w:val="20"/>
              </w:rPr>
            </w:pPr>
          </w:p>
        </w:tc>
        <w:tc>
          <w:tcPr>
            <w:tcW w:w="2551" w:type="dxa"/>
          </w:tcPr>
          <w:p w14:paraId="3CC896A2" w14:textId="121F824C" w:rsidR="00BF5185" w:rsidRPr="00F426FD" w:rsidRDefault="00BF5185" w:rsidP="002C16F7">
            <w:pPr>
              <w:rPr>
                <w:rFonts w:cs="Segoe UI"/>
                <w:szCs w:val="20"/>
              </w:rPr>
            </w:pPr>
            <w:r>
              <w:rPr>
                <w:rFonts w:cs="Segoe UI"/>
                <w:szCs w:val="20"/>
              </w:rPr>
              <w:t>Minor layout differences on Test Pack View page</w:t>
            </w:r>
          </w:p>
        </w:tc>
        <w:tc>
          <w:tcPr>
            <w:tcW w:w="6639" w:type="dxa"/>
          </w:tcPr>
          <w:p w14:paraId="76479E76" w14:textId="0B485354" w:rsidR="00BF5185" w:rsidRPr="00F426FD" w:rsidRDefault="00BF5185" w:rsidP="002C16F7">
            <w:pPr>
              <w:rPr>
                <w:rFonts w:cs="Segoe UI"/>
                <w:szCs w:val="20"/>
              </w:rPr>
            </w:pPr>
            <w:r>
              <w:rPr>
                <w:rFonts w:cs="Segoe UI"/>
                <w:szCs w:val="20"/>
              </w:rPr>
              <w:t>The Test Pack View page included a box drawn round some of the fields. This has been removed so this page now has a consistent appearance with the layout of the other tag type pages.</w:t>
            </w:r>
          </w:p>
        </w:tc>
      </w:tr>
      <w:tr w:rsidR="00636579" w:rsidRPr="00F426FD" w14:paraId="08D92E63" w14:textId="77777777" w:rsidTr="002C16F7">
        <w:trPr>
          <w:cnfStyle w:val="000000100000" w:firstRow="0" w:lastRow="0" w:firstColumn="0" w:lastColumn="0" w:oddVBand="0" w:evenVBand="0" w:oddHBand="1" w:evenHBand="0" w:firstRowFirstColumn="0" w:firstRowLastColumn="0" w:lastRowFirstColumn="0" w:lastRowLastColumn="0"/>
        </w:trPr>
        <w:tc>
          <w:tcPr>
            <w:tcW w:w="841" w:type="dxa"/>
          </w:tcPr>
          <w:p w14:paraId="113F0EE3" w14:textId="7D0459D9" w:rsidR="00636579" w:rsidRPr="0016310A" w:rsidRDefault="00636579" w:rsidP="002C16F7">
            <w:pPr>
              <w:rPr>
                <w:rFonts w:cs="Segoe UI"/>
                <w:szCs w:val="20"/>
              </w:rPr>
            </w:pPr>
            <w:r w:rsidRPr="00636579">
              <w:rPr>
                <w:rFonts w:cs="Segoe UI"/>
                <w:szCs w:val="20"/>
              </w:rPr>
              <w:t>93351</w:t>
            </w:r>
          </w:p>
        </w:tc>
        <w:tc>
          <w:tcPr>
            <w:tcW w:w="2551" w:type="dxa"/>
          </w:tcPr>
          <w:p w14:paraId="3B2ADA14" w14:textId="0810AEF1" w:rsidR="00636579" w:rsidRDefault="00636579" w:rsidP="002C16F7">
            <w:pPr>
              <w:rPr>
                <w:rFonts w:cs="Segoe UI"/>
                <w:szCs w:val="20"/>
              </w:rPr>
            </w:pPr>
            <w:r>
              <w:rPr>
                <w:rFonts w:cs="Segoe UI"/>
                <w:szCs w:val="20"/>
              </w:rPr>
              <w:t>Equipment Type to ITR Review displayin</w:t>
            </w:r>
            <w:r w:rsidR="001A63C1">
              <w:rPr>
                <w:rFonts w:cs="Segoe UI"/>
                <w:szCs w:val="20"/>
              </w:rPr>
              <w:t>g Tag ITRs that do not exist</w:t>
            </w:r>
          </w:p>
        </w:tc>
        <w:tc>
          <w:tcPr>
            <w:tcW w:w="6639" w:type="dxa"/>
          </w:tcPr>
          <w:p w14:paraId="75FD1345" w14:textId="350B8131" w:rsidR="00636579" w:rsidRDefault="001A63C1" w:rsidP="002C16F7">
            <w:pPr>
              <w:rPr>
                <w:rFonts w:cs="Segoe UI"/>
                <w:szCs w:val="20"/>
              </w:rPr>
            </w:pPr>
            <w:r>
              <w:rPr>
                <w:rFonts w:cs="Segoe UI"/>
                <w:szCs w:val="20"/>
              </w:rPr>
              <w:t>The Equipment Type to ITR Review page was sometimes showing Tag</w:t>
            </w:r>
            <w:r w:rsidR="002767D6">
              <w:rPr>
                <w:rFonts w:cs="Segoe UI"/>
                <w:szCs w:val="20"/>
              </w:rPr>
              <w:t xml:space="preserve"> ITRs that have been deleted. This has been corrected so that these items are no longer shown.</w:t>
            </w:r>
          </w:p>
        </w:tc>
      </w:tr>
      <w:tr w:rsidR="00004BD3" w:rsidRPr="00F426FD" w14:paraId="1869B22E" w14:textId="77777777" w:rsidTr="002C16F7">
        <w:tc>
          <w:tcPr>
            <w:tcW w:w="841" w:type="dxa"/>
          </w:tcPr>
          <w:p w14:paraId="713318E3" w14:textId="51D44843" w:rsidR="00004BD3" w:rsidRPr="0016310A" w:rsidRDefault="00004BD3" w:rsidP="002C16F7">
            <w:pPr>
              <w:rPr>
                <w:rFonts w:cs="Segoe UI"/>
                <w:szCs w:val="20"/>
              </w:rPr>
            </w:pPr>
            <w:r w:rsidRPr="00004BD3">
              <w:rPr>
                <w:rFonts w:cs="Segoe UI"/>
                <w:szCs w:val="20"/>
              </w:rPr>
              <w:t>93478</w:t>
            </w:r>
          </w:p>
        </w:tc>
        <w:tc>
          <w:tcPr>
            <w:tcW w:w="2551" w:type="dxa"/>
          </w:tcPr>
          <w:p w14:paraId="504E9E65" w14:textId="4524F8FF" w:rsidR="00004BD3" w:rsidRDefault="00155CBE" w:rsidP="002C16F7">
            <w:pPr>
              <w:rPr>
                <w:rFonts w:cs="Segoe UI"/>
                <w:szCs w:val="20"/>
              </w:rPr>
            </w:pPr>
            <w:r>
              <w:rPr>
                <w:rFonts w:cs="Segoe UI"/>
                <w:szCs w:val="20"/>
              </w:rPr>
              <w:t>Populating Primary/Secondary Handovers on PLIs</w:t>
            </w:r>
          </w:p>
        </w:tc>
        <w:tc>
          <w:tcPr>
            <w:tcW w:w="6639" w:type="dxa"/>
          </w:tcPr>
          <w:p w14:paraId="731F721D" w14:textId="7890F9B7" w:rsidR="00004BD3" w:rsidRDefault="00EE1C38" w:rsidP="002C16F7">
            <w:pPr>
              <w:rPr>
                <w:rFonts w:cs="Segoe UI"/>
                <w:szCs w:val="20"/>
              </w:rPr>
            </w:pPr>
            <w:r>
              <w:rPr>
                <w:rFonts w:cs="Segoe UI"/>
                <w:szCs w:val="20"/>
              </w:rPr>
              <w:t>When a Punch List Item is raised against a Tag ITR</w:t>
            </w:r>
            <w:r w:rsidR="006C7C93">
              <w:rPr>
                <w:rFonts w:cs="Segoe UI"/>
                <w:szCs w:val="20"/>
              </w:rPr>
              <w:t xml:space="preserve"> or Job Card</w:t>
            </w:r>
            <w:r>
              <w:rPr>
                <w:rFonts w:cs="Segoe UI"/>
                <w:szCs w:val="20"/>
              </w:rPr>
              <w:t>, if that Tag ITR</w:t>
            </w:r>
            <w:r w:rsidR="006C7C93">
              <w:rPr>
                <w:rFonts w:cs="Segoe UI"/>
                <w:szCs w:val="20"/>
              </w:rPr>
              <w:t xml:space="preserve"> (or Job Card)</w:t>
            </w:r>
            <w:r>
              <w:rPr>
                <w:rFonts w:cs="Segoe UI"/>
                <w:szCs w:val="20"/>
              </w:rPr>
              <w:t xml:space="preserve"> is allocated to a Primary or Secondary Handover, </w:t>
            </w:r>
            <w:r w:rsidR="001A64A5">
              <w:rPr>
                <w:rFonts w:cs="Segoe UI"/>
                <w:szCs w:val="20"/>
              </w:rPr>
              <w:t>the Primary/Secondary Handover fields on the PLI will now be populated automatically.</w:t>
            </w:r>
          </w:p>
        </w:tc>
      </w:tr>
      <w:tr w:rsidR="00434838" w:rsidRPr="00F426FD" w14:paraId="36926841" w14:textId="77777777" w:rsidTr="002C16F7">
        <w:trPr>
          <w:cnfStyle w:val="000000100000" w:firstRow="0" w:lastRow="0" w:firstColumn="0" w:lastColumn="0" w:oddVBand="0" w:evenVBand="0" w:oddHBand="1" w:evenHBand="0" w:firstRowFirstColumn="0" w:firstRowLastColumn="0" w:lastRowFirstColumn="0" w:lastRowLastColumn="0"/>
        </w:trPr>
        <w:tc>
          <w:tcPr>
            <w:tcW w:w="841" w:type="dxa"/>
          </w:tcPr>
          <w:p w14:paraId="42875CC1" w14:textId="1A447E8C" w:rsidR="00434838" w:rsidRPr="00004BD3" w:rsidRDefault="00434838" w:rsidP="002C16F7">
            <w:pPr>
              <w:rPr>
                <w:rFonts w:cs="Segoe UI"/>
                <w:szCs w:val="20"/>
              </w:rPr>
            </w:pPr>
            <w:r w:rsidRPr="00434838">
              <w:rPr>
                <w:rFonts w:cs="Segoe UI"/>
                <w:szCs w:val="20"/>
              </w:rPr>
              <w:t>93947</w:t>
            </w:r>
          </w:p>
        </w:tc>
        <w:tc>
          <w:tcPr>
            <w:tcW w:w="2551" w:type="dxa"/>
          </w:tcPr>
          <w:p w14:paraId="5DFE3C5E" w14:textId="2821B7D8" w:rsidR="00434838" w:rsidRDefault="0043470A" w:rsidP="002C16F7">
            <w:pPr>
              <w:rPr>
                <w:rFonts w:cs="Segoe UI"/>
                <w:szCs w:val="20"/>
              </w:rPr>
            </w:pPr>
            <w:r>
              <w:rPr>
                <w:rFonts w:cs="Segoe UI"/>
                <w:szCs w:val="20"/>
              </w:rPr>
              <w:t>Handover Data Discrepancy</w:t>
            </w:r>
          </w:p>
        </w:tc>
        <w:tc>
          <w:tcPr>
            <w:tcW w:w="6639" w:type="dxa"/>
          </w:tcPr>
          <w:p w14:paraId="7D5EBD55" w14:textId="2A7B660B" w:rsidR="00434838" w:rsidRDefault="00240B4F" w:rsidP="002C16F7">
            <w:pPr>
              <w:rPr>
                <w:rFonts w:cs="Segoe UI"/>
                <w:szCs w:val="20"/>
              </w:rPr>
            </w:pPr>
            <w:r>
              <w:rPr>
                <w:rFonts w:cs="Segoe UI"/>
                <w:szCs w:val="20"/>
              </w:rPr>
              <w:t xml:space="preserve">Tag ITRs that were deleted or moved to another Sub System were still being included in the Tag ITR count for </w:t>
            </w:r>
            <w:r w:rsidR="00216F00">
              <w:rPr>
                <w:rFonts w:cs="Segoe UI"/>
                <w:szCs w:val="20"/>
              </w:rPr>
              <w:t>Handovers on the Handover Search Results page. These counts have been corrected.</w:t>
            </w:r>
          </w:p>
        </w:tc>
      </w:tr>
      <w:tr w:rsidR="002C16F7" w:rsidRPr="00F426FD" w14:paraId="320B57A3" w14:textId="77777777" w:rsidTr="002C16F7">
        <w:tc>
          <w:tcPr>
            <w:tcW w:w="841" w:type="dxa"/>
          </w:tcPr>
          <w:p w14:paraId="15EA93FF" w14:textId="47942CE1" w:rsidR="002C16F7" w:rsidRPr="00434838" w:rsidRDefault="002C16F7" w:rsidP="002C16F7">
            <w:pPr>
              <w:rPr>
                <w:rFonts w:cs="Segoe UI"/>
                <w:szCs w:val="20"/>
              </w:rPr>
            </w:pPr>
            <w:r w:rsidRPr="002C16F7">
              <w:rPr>
                <w:rFonts w:cs="Segoe UI"/>
                <w:szCs w:val="20"/>
              </w:rPr>
              <w:lastRenderedPageBreak/>
              <w:t>94475</w:t>
            </w:r>
          </w:p>
        </w:tc>
        <w:tc>
          <w:tcPr>
            <w:tcW w:w="2551" w:type="dxa"/>
          </w:tcPr>
          <w:p w14:paraId="633C5ED3" w14:textId="26C96373" w:rsidR="002C16F7" w:rsidRDefault="00294A5B" w:rsidP="002C16F7">
            <w:pPr>
              <w:rPr>
                <w:rFonts w:cs="Segoe UI"/>
                <w:szCs w:val="20"/>
              </w:rPr>
            </w:pPr>
            <w:r>
              <w:rPr>
                <w:rFonts w:cs="Segoe UI"/>
                <w:szCs w:val="20"/>
              </w:rPr>
              <w:t>Handovers reported incorrectly on dashboard</w:t>
            </w:r>
          </w:p>
        </w:tc>
        <w:tc>
          <w:tcPr>
            <w:tcW w:w="6639" w:type="dxa"/>
          </w:tcPr>
          <w:p w14:paraId="1E0E9F8B" w14:textId="756566D0" w:rsidR="002C16F7" w:rsidRDefault="00AD6551" w:rsidP="002C16F7">
            <w:pPr>
              <w:rPr>
                <w:rFonts w:cs="Segoe UI"/>
                <w:szCs w:val="20"/>
              </w:rPr>
            </w:pPr>
            <w:r>
              <w:rPr>
                <w:rFonts w:cs="Segoe UI"/>
                <w:szCs w:val="20"/>
              </w:rPr>
              <w:t>The Handovers section on the dashboard counted Handovers that were Accepted not Verified.</w:t>
            </w:r>
            <w:r w:rsidR="009A53A2">
              <w:rPr>
                <w:rFonts w:cs="Segoe UI"/>
                <w:szCs w:val="20"/>
              </w:rPr>
              <w:t xml:space="preserve"> This has been changed so that these counts are now based on whether the Verified Sign Off is complete.</w:t>
            </w:r>
          </w:p>
        </w:tc>
      </w:tr>
      <w:tr w:rsidR="004E740A" w:rsidRPr="00F426FD" w14:paraId="7DBF1FD0" w14:textId="77777777" w:rsidTr="002C16F7">
        <w:trPr>
          <w:cnfStyle w:val="000000100000" w:firstRow="0" w:lastRow="0" w:firstColumn="0" w:lastColumn="0" w:oddVBand="0" w:evenVBand="0" w:oddHBand="1" w:evenHBand="0" w:firstRowFirstColumn="0" w:firstRowLastColumn="0" w:lastRowFirstColumn="0" w:lastRowLastColumn="0"/>
        </w:trPr>
        <w:tc>
          <w:tcPr>
            <w:tcW w:w="841" w:type="dxa"/>
          </w:tcPr>
          <w:p w14:paraId="15093027" w14:textId="2C0AB7EA" w:rsidR="004E740A" w:rsidRPr="002C16F7" w:rsidRDefault="004E740A" w:rsidP="002C16F7">
            <w:pPr>
              <w:rPr>
                <w:rFonts w:cs="Segoe UI"/>
                <w:szCs w:val="20"/>
              </w:rPr>
            </w:pPr>
            <w:r>
              <w:rPr>
                <w:rFonts w:cs="Segoe UI"/>
                <w:szCs w:val="20"/>
              </w:rPr>
              <w:t>Various</w:t>
            </w:r>
          </w:p>
        </w:tc>
        <w:tc>
          <w:tcPr>
            <w:tcW w:w="2551" w:type="dxa"/>
          </w:tcPr>
          <w:p w14:paraId="1C88F953" w14:textId="16F23665" w:rsidR="004E740A" w:rsidRDefault="004E740A" w:rsidP="002C16F7">
            <w:pPr>
              <w:rPr>
                <w:rFonts w:cs="Segoe UI"/>
                <w:szCs w:val="20"/>
              </w:rPr>
            </w:pPr>
            <w:r>
              <w:rPr>
                <w:rFonts w:cs="Segoe UI"/>
                <w:szCs w:val="20"/>
              </w:rPr>
              <w:t>Sign off details not appearing on the Search Results page</w:t>
            </w:r>
          </w:p>
        </w:tc>
        <w:tc>
          <w:tcPr>
            <w:tcW w:w="6639" w:type="dxa"/>
          </w:tcPr>
          <w:p w14:paraId="4D00DD66" w14:textId="505D06FC" w:rsidR="004E14F5" w:rsidRDefault="008B4F0E" w:rsidP="002C16F7">
            <w:pPr>
              <w:rPr>
                <w:rFonts w:cs="Segoe UI"/>
                <w:szCs w:val="20"/>
              </w:rPr>
            </w:pPr>
            <w:r>
              <w:rPr>
                <w:rFonts w:cs="Segoe UI"/>
                <w:szCs w:val="20"/>
              </w:rPr>
              <w:t xml:space="preserve">Sometimes </w:t>
            </w:r>
            <w:r w:rsidR="00D41205">
              <w:rPr>
                <w:rFonts w:cs="Segoe UI"/>
                <w:szCs w:val="20"/>
              </w:rPr>
              <w:t>on the Tag ITR Search page, the Signed Off Date was not being displayed in the grid of search results</w:t>
            </w:r>
            <w:r w:rsidR="005B253F">
              <w:rPr>
                <w:rFonts w:cs="Segoe UI"/>
                <w:szCs w:val="20"/>
              </w:rPr>
              <w:t xml:space="preserve"> on </w:t>
            </w:r>
            <w:r w:rsidR="008D2EF2">
              <w:rPr>
                <w:rFonts w:cs="Segoe UI"/>
                <w:szCs w:val="20"/>
              </w:rPr>
              <w:t>some</w:t>
            </w:r>
            <w:r w:rsidR="005B253F">
              <w:rPr>
                <w:rFonts w:cs="Segoe UI"/>
                <w:szCs w:val="20"/>
              </w:rPr>
              <w:t xml:space="preserve"> Tag ITRs</w:t>
            </w:r>
            <w:r w:rsidR="00D41205">
              <w:rPr>
                <w:rFonts w:cs="Segoe UI"/>
                <w:szCs w:val="20"/>
              </w:rPr>
              <w:t xml:space="preserve">. </w:t>
            </w:r>
            <w:r w:rsidR="004F3CF3">
              <w:rPr>
                <w:rFonts w:cs="Segoe UI"/>
                <w:szCs w:val="20"/>
              </w:rPr>
              <w:t>When the</w:t>
            </w:r>
            <w:r w:rsidR="008D2EF2">
              <w:rPr>
                <w:rFonts w:cs="Segoe UI"/>
                <w:szCs w:val="20"/>
              </w:rPr>
              <w:t>se</w:t>
            </w:r>
            <w:r w:rsidR="004F3CF3">
              <w:rPr>
                <w:rFonts w:cs="Segoe UI"/>
                <w:szCs w:val="20"/>
              </w:rPr>
              <w:t xml:space="preserve"> Tag ITR</w:t>
            </w:r>
            <w:r w:rsidR="008D2EF2">
              <w:rPr>
                <w:rFonts w:cs="Segoe UI"/>
                <w:szCs w:val="20"/>
              </w:rPr>
              <w:t>s</w:t>
            </w:r>
            <w:r w:rsidR="004F3CF3">
              <w:rPr>
                <w:rFonts w:cs="Segoe UI"/>
                <w:szCs w:val="20"/>
              </w:rPr>
              <w:t xml:space="preserve"> w</w:t>
            </w:r>
            <w:r w:rsidR="008D2EF2">
              <w:rPr>
                <w:rFonts w:cs="Segoe UI"/>
                <w:szCs w:val="20"/>
              </w:rPr>
              <w:t>ere</w:t>
            </w:r>
            <w:r w:rsidR="004F3CF3">
              <w:rPr>
                <w:rFonts w:cs="Segoe UI"/>
                <w:szCs w:val="20"/>
              </w:rPr>
              <w:t xml:space="preserve"> viewed, the Sign Offs</w:t>
            </w:r>
            <w:r w:rsidR="008D2EF2">
              <w:rPr>
                <w:rFonts w:cs="Segoe UI"/>
                <w:szCs w:val="20"/>
              </w:rPr>
              <w:t xml:space="preserve"> details</w:t>
            </w:r>
            <w:r w:rsidR="004F3CF3">
              <w:rPr>
                <w:rFonts w:cs="Segoe UI"/>
                <w:szCs w:val="20"/>
              </w:rPr>
              <w:t xml:space="preserve"> could be seen. </w:t>
            </w:r>
            <w:r w:rsidR="004E14F5">
              <w:rPr>
                <w:rFonts w:cs="Segoe UI"/>
                <w:szCs w:val="20"/>
              </w:rPr>
              <w:t>This issue could be triggered by clicking the Save button on the Tag ITR multiple times</w:t>
            </w:r>
            <w:r w:rsidR="00EE1418">
              <w:rPr>
                <w:rFonts w:cs="Segoe UI"/>
                <w:szCs w:val="20"/>
              </w:rPr>
              <w:t xml:space="preserve"> in</w:t>
            </w:r>
            <w:r w:rsidR="004E14F5">
              <w:rPr>
                <w:rFonts w:cs="Segoe UI"/>
                <w:szCs w:val="20"/>
              </w:rPr>
              <w:t xml:space="preserve"> quick</w:t>
            </w:r>
            <w:r w:rsidR="00EE1418">
              <w:rPr>
                <w:rFonts w:cs="Segoe UI"/>
                <w:szCs w:val="20"/>
              </w:rPr>
              <w:t xml:space="preserve"> succession</w:t>
            </w:r>
            <w:r w:rsidR="004E14F5">
              <w:rPr>
                <w:rFonts w:cs="Segoe UI"/>
                <w:szCs w:val="20"/>
              </w:rPr>
              <w:t xml:space="preserve">. </w:t>
            </w:r>
          </w:p>
          <w:p w14:paraId="0AA8A05D" w14:textId="7E8B74D9" w:rsidR="004E14F5" w:rsidRDefault="004E14F5" w:rsidP="002C16F7">
            <w:pPr>
              <w:rPr>
                <w:rFonts w:cs="Segoe UI"/>
                <w:szCs w:val="20"/>
              </w:rPr>
            </w:pPr>
            <w:r>
              <w:rPr>
                <w:rFonts w:cs="Segoe UI"/>
                <w:szCs w:val="20"/>
              </w:rPr>
              <w:t>A fix has been made so that it is no longer possible to click Save multiple times</w:t>
            </w:r>
            <w:r w:rsidR="00B52B1D">
              <w:rPr>
                <w:rFonts w:cs="Segoe UI"/>
                <w:szCs w:val="20"/>
              </w:rPr>
              <w:t xml:space="preserve"> and the Signed Off Date now appears correctly on both the Tag ITR View page and the Tag ITR Search </w:t>
            </w:r>
            <w:r w:rsidR="005B253F">
              <w:rPr>
                <w:rFonts w:cs="Segoe UI"/>
                <w:szCs w:val="20"/>
              </w:rPr>
              <w:t>p</w:t>
            </w:r>
            <w:r w:rsidR="00B52B1D">
              <w:rPr>
                <w:rFonts w:cs="Segoe UI"/>
                <w:szCs w:val="20"/>
              </w:rPr>
              <w:t>age.</w:t>
            </w:r>
          </w:p>
          <w:p w14:paraId="4DD19E9F" w14:textId="353A726A" w:rsidR="004E740A" w:rsidRDefault="00643E49" w:rsidP="002C16F7">
            <w:pPr>
              <w:rPr>
                <w:rFonts w:cs="Segoe UI"/>
                <w:szCs w:val="20"/>
              </w:rPr>
            </w:pPr>
            <w:r>
              <w:rPr>
                <w:rFonts w:cs="Segoe UI"/>
                <w:szCs w:val="20"/>
              </w:rPr>
              <w:t xml:space="preserve">This issue </w:t>
            </w:r>
            <w:r w:rsidR="004F3CF3">
              <w:rPr>
                <w:rFonts w:cs="Segoe UI"/>
                <w:szCs w:val="20"/>
              </w:rPr>
              <w:t xml:space="preserve">also </w:t>
            </w:r>
            <w:r>
              <w:rPr>
                <w:rFonts w:cs="Segoe UI"/>
                <w:szCs w:val="20"/>
              </w:rPr>
              <w:t>applied to Tag PWLs and PLIs.</w:t>
            </w:r>
          </w:p>
        </w:tc>
      </w:tr>
    </w:tbl>
    <w:p w14:paraId="4F3EFEA3" w14:textId="4E262C47" w:rsidR="00AA0A8A" w:rsidRDefault="00AA0A8A" w:rsidP="00AA0A8A">
      <w:pPr>
        <w:pStyle w:val="Woodsubhead1-bulletednumberteal"/>
      </w:pPr>
      <w:r>
        <w:t>Known Issues</w:t>
      </w:r>
    </w:p>
    <w:p w14:paraId="5969E9E6" w14:textId="3AC91326" w:rsidR="00AA0A8A" w:rsidRDefault="00AA0A8A" w:rsidP="00AA0A8A">
      <w:pPr>
        <w:pStyle w:val="WoodBody"/>
      </w:pPr>
      <w:r>
        <w:t xml:space="preserve">A full list of </w:t>
      </w:r>
      <w:r>
        <w:rPr>
          <w:rFonts w:ascii="Tahoma" w:hAnsi="Tahoma"/>
        </w:rPr>
        <w:t>“</w:t>
      </w:r>
      <w:r>
        <w:t>Known Issues</w:t>
      </w:r>
      <w:r>
        <w:rPr>
          <w:rFonts w:ascii="Tahoma" w:hAnsi="Tahoma"/>
        </w:rPr>
        <w:t xml:space="preserve">” </w:t>
      </w:r>
      <w:r>
        <w:t xml:space="preserve">can be found at </w:t>
      </w:r>
      <w:hyperlink r:id="rId11" w:history="1">
        <w:r w:rsidRPr="00D22EE6">
          <w:rPr>
            <w:rStyle w:val="Hyperlink"/>
          </w:rPr>
          <w:t>https://qedi-gotechnology.github.io/</w:t>
        </w:r>
      </w:hyperlink>
    </w:p>
    <w:p w14:paraId="7666DEAB" w14:textId="14FD6DCC" w:rsidR="00AA0A8A" w:rsidRDefault="00AA0A8A" w:rsidP="00AA0A8A">
      <w:pPr>
        <w:pStyle w:val="Woodsubhead1-bulletednumberteal"/>
      </w:pPr>
      <w:r>
        <w:t>Features</w:t>
      </w:r>
    </w:p>
    <w:p w14:paraId="751F11B5" w14:textId="783D5D0C" w:rsidR="00AA0A8A" w:rsidRDefault="00AA0A8A" w:rsidP="00AA0A8A">
      <w:r>
        <w:t>The following functionality has been added in v1.</w:t>
      </w:r>
      <w:r w:rsidR="00C47D33">
        <w:t>44</w:t>
      </w:r>
      <w:r>
        <w:t>:</w:t>
      </w:r>
    </w:p>
    <w:p w14:paraId="71759D55" w14:textId="6A993EB2" w:rsidR="008C0758" w:rsidRDefault="008C0758" w:rsidP="00AA0A8A">
      <w:pPr>
        <w:pStyle w:val="ListParagraph"/>
        <w:numPr>
          <w:ilvl w:val="0"/>
          <w:numId w:val="15"/>
        </w:numPr>
      </w:pPr>
      <w:r>
        <w:t>Increased Te</w:t>
      </w:r>
      <w:r w:rsidR="00A36DE0">
        <w:t>s</w:t>
      </w:r>
      <w:r>
        <w:t>t Reference Field</w:t>
      </w:r>
    </w:p>
    <w:p w14:paraId="33B352F0" w14:textId="603B6096" w:rsidR="00763355" w:rsidRDefault="00763355" w:rsidP="00AA0A8A">
      <w:pPr>
        <w:pStyle w:val="ListParagraph"/>
        <w:numPr>
          <w:ilvl w:val="0"/>
          <w:numId w:val="15"/>
        </w:numPr>
      </w:pPr>
      <w:r>
        <w:t>New fields on ITRs</w:t>
      </w:r>
    </w:p>
    <w:p w14:paraId="26F4745C" w14:textId="5CBFDD7E" w:rsidR="00022867" w:rsidRDefault="00022867" w:rsidP="00AA0A8A">
      <w:pPr>
        <w:pStyle w:val="ListParagraph"/>
        <w:numPr>
          <w:ilvl w:val="0"/>
          <w:numId w:val="15"/>
        </w:numPr>
      </w:pPr>
      <w:r>
        <w:t>Planning menu renamed</w:t>
      </w:r>
    </w:p>
    <w:p w14:paraId="617298D0" w14:textId="3E6D6F0D" w:rsidR="00AA0A8A" w:rsidRDefault="00E42ACB" w:rsidP="008C2040">
      <w:pPr>
        <w:pStyle w:val="ListParagraph"/>
        <w:numPr>
          <w:ilvl w:val="0"/>
          <w:numId w:val="15"/>
        </w:numPr>
      </w:pPr>
      <w:r>
        <w:t>Re-open PLIs</w:t>
      </w:r>
    </w:p>
    <w:p w14:paraId="5324F7DB" w14:textId="074A2316" w:rsidR="00A16E50" w:rsidRDefault="00AF77B5" w:rsidP="00A16E50">
      <w:pPr>
        <w:pStyle w:val="ListParagraph"/>
        <w:numPr>
          <w:ilvl w:val="0"/>
          <w:numId w:val="15"/>
        </w:numPr>
      </w:pPr>
      <w:r>
        <w:t>Handover Dossier</w:t>
      </w:r>
    </w:p>
    <w:p w14:paraId="75D1AF30" w14:textId="4230C2E8" w:rsidR="00AF49E5" w:rsidRPr="00AF49E5" w:rsidRDefault="00AF49E5" w:rsidP="00AF49E5">
      <w:pPr>
        <w:pStyle w:val="ListParagraph"/>
        <w:numPr>
          <w:ilvl w:val="0"/>
          <w:numId w:val="15"/>
        </w:numPr>
      </w:pPr>
      <w:r>
        <w:t>Tag Set warning messages</w:t>
      </w:r>
    </w:p>
    <w:p w14:paraId="4C45626D" w14:textId="63B215CC" w:rsidR="00A16E50" w:rsidRDefault="00AF49E5" w:rsidP="00A16E50">
      <w:pPr>
        <w:pStyle w:val="ListParagraph"/>
        <w:numPr>
          <w:ilvl w:val="0"/>
          <w:numId w:val="15"/>
        </w:numPr>
      </w:pPr>
      <w:r>
        <w:t xml:space="preserve">Handover </w:t>
      </w:r>
      <w:r w:rsidR="00A16E50">
        <w:t>warning messages</w:t>
      </w:r>
    </w:p>
    <w:p w14:paraId="0538695B" w14:textId="41FB12F1" w:rsidR="00AF77B5" w:rsidRDefault="00AF77B5" w:rsidP="00AF49E5">
      <w:pPr>
        <w:pStyle w:val="ListParagraph"/>
        <w:numPr>
          <w:ilvl w:val="0"/>
          <w:numId w:val="15"/>
        </w:numPr>
      </w:pPr>
      <w:r>
        <w:t>Handovers by ITR Discipline</w:t>
      </w:r>
    </w:p>
    <w:p w14:paraId="21522D2A" w14:textId="58128D9A" w:rsidR="009D3D37" w:rsidRDefault="009D3D37" w:rsidP="00AA0A8A">
      <w:pPr>
        <w:pStyle w:val="ListParagraph"/>
        <w:numPr>
          <w:ilvl w:val="0"/>
          <w:numId w:val="15"/>
        </w:numPr>
      </w:pPr>
      <w:r>
        <w:t>API – Sign Off Type on Tag ITR</w:t>
      </w:r>
    </w:p>
    <w:p w14:paraId="671E1C93" w14:textId="6F906474" w:rsidR="00933F8A" w:rsidRDefault="008C3D88" w:rsidP="001670BF">
      <w:pPr>
        <w:pStyle w:val="Woodsubhead1-bulletednumberteal"/>
      </w:pPr>
      <w:r>
        <w:t>Increase to Te</w:t>
      </w:r>
      <w:r w:rsidR="00A36DE0">
        <w:t>s</w:t>
      </w:r>
      <w:r>
        <w:t>t Reference Field Length</w:t>
      </w:r>
    </w:p>
    <w:p w14:paraId="52CA2D25" w14:textId="6B49CE47" w:rsidR="00AA0A8A" w:rsidRDefault="001B06D9" w:rsidP="00AA0A8A">
      <w:r>
        <w:t>The Te</w:t>
      </w:r>
      <w:r w:rsidR="00A36DE0">
        <w:t>s</w:t>
      </w:r>
      <w:r>
        <w:t>t Reference field on a Tag ITR has been increased from 10 characters to a maximum of 30 characters.</w:t>
      </w:r>
    </w:p>
    <w:p w14:paraId="3132C433" w14:textId="58E253E4" w:rsidR="00AA0A8A" w:rsidRDefault="00E31E1F" w:rsidP="00AA0A8A">
      <w:pPr>
        <w:pStyle w:val="Woodsubhead1-bulletednumberteal"/>
      </w:pPr>
      <w:r>
        <w:t>New Fields on ITRs</w:t>
      </w:r>
    </w:p>
    <w:p w14:paraId="5499C8C4" w14:textId="77777777" w:rsidR="00AA0A8A" w:rsidRDefault="00AA0A8A" w:rsidP="00AA0A8A">
      <w:pPr>
        <w:jc w:val="center"/>
        <w:rPr>
          <w:b/>
        </w:rPr>
      </w:pPr>
      <w:r w:rsidRPr="008035A4">
        <w:rPr>
          <w:b/>
          <w:noProof/>
        </w:rPr>
        <w:drawing>
          <wp:inline distT="0" distB="0" distL="0" distR="0" wp14:anchorId="61AB3E1B" wp14:editId="56CED630">
            <wp:extent cx="5497562" cy="1731917"/>
            <wp:effectExtent l="19050" t="19050" r="27305"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497562" cy="1731917"/>
                    </a:xfrm>
                    <a:prstGeom prst="rect">
                      <a:avLst/>
                    </a:prstGeom>
                    <a:ln>
                      <a:solidFill>
                        <a:schemeClr val="accent1"/>
                      </a:solidFill>
                    </a:ln>
                  </pic:spPr>
                </pic:pic>
              </a:graphicData>
            </a:graphic>
          </wp:inline>
        </w:drawing>
      </w:r>
    </w:p>
    <w:p w14:paraId="2AB7F307" w14:textId="0525C606" w:rsidR="00AA0A8A" w:rsidRDefault="009129FE" w:rsidP="00AA0A8A">
      <w:pPr>
        <w:pStyle w:val="Figure"/>
      </w:pPr>
      <w:r>
        <w:t>Viewing the new fields on an ITR</w:t>
      </w:r>
    </w:p>
    <w:p w14:paraId="6DF315A1" w14:textId="18A4CF30" w:rsidR="00AA0A8A" w:rsidRDefault="00315D42" w:rsidP="00AA0A8A">
      <w:r>
        <w:t>Two new fields have been added to ITRs:</w:t>
      </w:r>
    </w:p>
    <w:p w14:paraId="05AD2CAC" w14:textId="127C0EC7" w:rsidR="00315D42" w:rsidRDefault="00315D42" w:rsidP="00315D42">
      <w:pPr>
        <w:pStyle w:val="ListParagraph"/>
        <w:numPr>
          <w:ilvl w:val="0"/>
          <w:numId w:val="21"/>
        </w:numPr>
      </w:pPr>
      <w:r>
        <w:t>Witness Points</w:t>
      </w:r>
    </w:p>
    <w:p w14:paraId="3C4F9746" w14:textId="20BACDDF" w:rsidR="00315D42" w:rsidRDefault="00315D42" w:rsidP="00315D42">
      <w:pPr>
        <w:pStyle w:val="ListParagraph"/>
        <w:numPr>
          <w:ilvl w:val="0"/>
          <w:numId w:val="21"/>
        </w:numPr>
      </w:pPr>
      <w:r>
        <w:t>Hold Points</w:t>
      </w:r>
    </w:p>
    <w:p w14:paraId="38007AEB" w14:textId="5BAE99C6" w:rsidR="00507494" w:rsidRDefault="00315D42" w:rsidP="00AA0A8A">
      <w:r>
        <w:t xml:space="preserve">These </w:t>
      </w:r>
      <w:r w:rsidR="00BC7AEC">
        <w:t xml:space="preserve">are Boolean – Yes/No </w:t>
      </w:r>
      <w:r>
        <w:t>fields</w:t>
      </w:r>
      <w:r w:rsidR="00BC7AEC">
        <w:t>. They</w:t>
      </w:r>
      <w:r>
        <w:t xml:space="preserve"> can be imported, exported, and </w:t>
      </w:r>
      <w:r w:rsidR="001039AC">
        <w:t>fetched/manipulated</w:t>
      </w:r>
      <w:r w:rsidR="00382A04">
        <w:t xml:space="preserve"> through the API.</w:t>
      </w:r>
    </w:p>
    <w:p w14:paraId="376F986E" w14:textId="2CB16C43" w:rsidR="00507494" w:rsidRDefault="00393C97" w:rsidP="00507494">
      <w:pPr>
        <w:pStyle w:val="Woodsubhead1-bulletednumberteal"/>
      </w:pPr>
      <w:r>
        <w:lastRenderedPageBreak/>
        <w:t>Planning Menu Renamed</w:t>
      </w:r>
    </w:p>
    <w:p w14:paraId="1D6AEFA3" w14:textId="77777777" w:rsidR="00507494" w:rsidRDefault="00507494" w:rsidP="00507494">
      <w:pPr>
        <w:jc w:val="center"/>
        <w:rPr>
          <w:b/>
        </w:rPr>
      </w:pPr>
      <w:r w:rsidRPr="008035A4">
        <w:rPr>
          <w:b/>
          <w:noProof/>
        </w:rPr>
        <w:drawing>
          <wp:inline distT="0" distB="0" distL="0" distR="0" wp14:anchorId="16BB2721" wp14:editId="0EB7BAE1">
            <wp:extent cx="4416473" cy="2102410"/>
            <wp:effectExtent l="19050" t="19050" r="2222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442770" cy="2114928"/>
                    </a:xfrm>
                    <a:prstGeom prst="rect">
                      <a:avLst/>
                    </a:prstGeom>
                    <a:ln>
                      <a:solidFill>
                        <a:schemeClr val="accent1"/>
                      </a:solidFill>
                    </a:ln>
                  </pic:spPr>
                </pic:pic>
              </a:graphicData>
            </a:graphic>
          </wp:inline>
        </w:drawing>
      </w:r>
    </w:p>
    <w:p w14:paraId="2A77F172" w14:textId="7A84F0D6" w:rsidR="00507494" w:rsidRDefault="00396D36" w:rsidP="00507494">
      <w:pPr>
        <w:pStyle w:val="Figure"/>
      </w:pPr>
      <w:r>
        <w:t>The renamed menus</w:t>
      </w:r>
    </w:p>
    <w:p w14:paraId="5CB0B4AC" w14:textId="6838399D" w:rsidR="00507494" w:rsidRDefault="00393C97" w:rsidP="00AA0A8A">
      <w:r>
        <w:t>The Planning menu has been renamed “Work Packs”.</w:t>
      </w:r>
      <w:r w:rsidR="00396D36">
        <w:t xml:space="preserve"> Under this the Completions Grid option has been renamed “Work Pack Grid”.</w:t>
      </w:r>
    </w:p>
    <w:p w14:paraId="25BE70CF" w14:textId="7ECFDE5E" w:rsidR="00507494" w:rsidRDefault="00034836" w:rsidP="00507494">
      <w:pPr>
        <w:pStyle w:val="Woodsubhead1-bulletednumberteal"/>
      </w:pPr>
      <w:r>
        <w:t>Re-open PLIs</w:t>
      </w:r>
    </w:p>
    <w:p w14:paraId="15FA8AD8" w14:textId="439CC895" w:rsidR="00507494" w:rsidRDefault="00507494" w:rsidP="00507494">
      <w:pPr>
        <w:rPr>
          <w:b/>
        </w:rPr>
      </w:pPr>
      <w:r w:rsidRPr="00153D1A">
        <w:rPr>
          <w:b/>
        </w:rPr>
        <w:t>For more details</w:t>
      </w:r>
      <w:r w:rsidR="00AC0617">
        <w:rPr>
          <w:b/>
        </w:rPr>
        <w:t>,</w:t>
      </w:r>
      <w:r w:rsidRPr="00153D1A">
        <w:rPr>
          <w:b/>
        </w:rPr>
        <w:t xml:space="preserve"> please see section </w:t>
      </w:r>
      <w:r w:rsidR="00153D1A">
        <w:rPr>
          <w:b/>
        </w:rPr>
        <w:t>27.</w:t>
      </w:r>
      <w:r w:rsidR="00590B83">
        <w:rPr>
          <w:b/>
        </w:rPr>
        <w:t>2.5</w:t>
      </w:r>
      <w:r w:rsidRPr="00153D1A">
        <w:rPr>
          <w:b/>
        </w:rPr>
        <w:t xml:space="preserve"> – </w:t>
      </w:r>
      <w:r w:rsidR="00590B83">
        <w:rPr>
          <w:b/>
        </w:rPr>
        <w:t>Re-open</w:t>
      </w:r>
      <w:r w:rsidRPr="00153D1A">
        <w:rPr>
          <w:b/>
        </w:rPr>
        <w:t xml:space="preserve"> of the v1.</w:t>
      </w:r>
      <w:r w:rsidR="00590B83">
        <w:rPr>
          <w:b/>
        </w:rPr>
        <w:t>44</w:t>
      </w:r>
      <w:r w:rsidRPr="00153D1A">
        <w:rPr>
          <w:b/>
        </w:rPr>
        <w:t xml:space="preserve"> Functional Specification</w:t>
      </w:r>
    </w:p>
    <w:p w14:paraId="47AD4B8C" w14:textId="77777777" w:rsidR="00507494" w:rsidRDefault="00507494" w:rsidP="00507494">
      <w:pPr>
        <w:jc w:val="center"/>
        <w:rPr>
          <w:b/>
        </w:rPr>
      </w:pPr>
      <w:r w:rsidRPr="008035A4">
        <w:rPr>
          <w:b/>
          <w:noProof/>
        </w:rPr>
        <w:drawing>
          <wp:inline distT="0" distB="0" distL="0" distR="0" wp14:anchorId="4480FF33" wp14:editId="4321AB38">
            <wp:extent cx="5497562" cy="2251561"/>
            <wp:effectExtent l="19050" t="19050" r="27305"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5497562" cy="2251561"/>
                    </a:xfrm>
                    <a:prstGeom prst="rect">
                      <a:avLst/>
                    </a:prstGeom>
                    <a:ln>
                      <a:solidFill>
                        <a:schemeClr val="accent1"/>
                      </a:solidFill>
                    </a:ln>
                  </pic:spPr>
                </pic:pic>
              </a:graphicData>
            </a:graphic>
          </wp:inline>
        </w:drawing>
      </w:r>
    </w:p>
    <w:p w14:paraId="5E3813D9" w14:textId="1DC55FF0" w:rsidR="00507494" w:rsidRDefault="002C5D7A" w:rsidP="00507494">
      <w:pPr>
        <w:pStyle w:val="Figure"/>
      </w:pPr>
      <w:r>
        <w:t>The Re-open button on a signed off PLI</w:t>
      </w:r>
    </w:p>
    <w:p w14:paraId="285E4B71" w14:textId="72BCE3C0" w:rsidR="00507494" w:rsidRDefault="008F5C0C" w:rsidP="00507494">
      <w:r>
        <w:t xml:space="preserve">Punch List Items which have been fully signed off now have a Re-open button. </w:t>
      </w:r>
      <w:r w:rsidR="007A1FDF">
        <w:t>Clicking this will remove the sign offs from t</w:t>
      </w:r>
      <w:r w:rsidR="0035052F">
        <w:t xml:space="preserve">he PLI. </w:t>
      </w:r>
      <w:r w:rsidR="00523E85">
        <w:t>Corrections to the sign offs can then be made.</w:t>
      </w:r>
    </w:p>
    <w:p w14:paraId="7D3D61EF" w14:textId="1730DF2B" w:rsidR="00507494" w:rsidRDefault="007A1FDF" w:rsidP="00AA0A8A">
      <w:r>
        <w:t>The Re-open button is only available to Admin users.</w:t>
      </w:r>
    </w:p>
    <w:p w14:paraId="02C724A2" w14:textId="454915B5" w:rsidR="00507494" w:rsidRDefault="0098009C" w:rsidP="00507494">
      <w:pPr>
        <w:pStyle w:val="Woodsubhead1-bulletednumberteal"/>
      </w:pPr>
      <w:r>
        <w:t>Handover Dossier</w:t>
      </w:r>
    </w:p>
    <w:p w14:paraId="2CD51380" w14:textId="3656A93A" w:rsidR="00507494" w:rsidRDefault="00507494" w:rsidP="00507494">
      <w:pPr>
        <w:rPr>
          <w:b/>
        </w:rPr>
      </w:pPr>
      <w:r w:rsidRPr="00530AD7">
        <w:rPr>
          <w:b/>
        </w:rPr>
        <w:t>For more details</w:t>
      </w:r>
      <w:r w:rsidR="00DC0642" w:rsidRPr="00530AD7">
        <w:rPr>
          <w:b/>
        </w:rPr>
        <w:t>,</w:t>
      </w:r>
      <w:r w:rsidRPr="00530AD7">
        <w:rPr>
          <w:b/>
        </w:rPr>
        <w:t xml:space="preserve"> please see section </w:t>
      </w:r>
      <w:r w:rsidR="00C77E9F" w:rsidRPr="00530AD7">
        <w:rPr>
          <w:b/>
        </w:rPr>
        <w:t>30.2.6</w:t>
      </w:r>
      <w:r w:rsidRPr="00530AD7">
        <w:rPr>
          <w:b/>
        </w:rPr>
        <w:t xml:space="preserve"> – </w:t>
      </w:r>
      <w:r w:rsidR="00C77E9F" w:rsidRPr="00530AD7">
        <w:rPr>
          <w:b/>
        </w:rPr>
        <w:t>Generate Handover Dossier</w:t>
      </w:r>
      <w:r w:rsidRPr="00530AD7">
        <w:rPr>
          <w:b/>
        </w:rPr>
        <w:t xml:space="preserve"> of the v1.</w:t>
      </w:r>
      <w:r w:rsidR="00C77E9F" w:rsidRPr="00530AD7">
        <w:rPr>
          <w:b/>
        </w:rPr>
        <w:t>44</w:t>
      </w:r>
      <w:r w:rsidRPr="00530AD7">
        <w:rPr>
          <w:b/>
        </w:rPr>
        <w:t xml:space="preserve"> Functional Specification</w:t>
      </w:r>
    </w:p>
    <w:p w14:paraId="0559D545" w14:textId="77777777" w:rsidR="00507494" w:rsidRDefault="00507494" w:rsidP="00507494">
      <w:pPr>
        <w:jc w:val="center"/>
        <w:rPr>
          <w:b/>
        </w:rPr>
      </w:pPr>
      <w:r w:rsidRPr="008035A4">
        <w:rPr>
          <w:b/>
          <w:noProof/>
        </w:rPr>
        <w:lastRenderedPageBreak/>
        <w:drawing>
          <wp:inline distT="0" distB="0" distL="0" distR="0" wp14:anchorId="4F53D62B" wp14:editId="4FEB91B4">
            <wp:extent cx="5339394" cy="2633559"/>
            <wp:effectExtent l="19050" t="19050" r="1397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5339394" cy="2633559"/>
                    </a:xfrm>
                    <a:prstGeom prst="rect">
                      <a:avLst/>
                    </a:prstGeom>
                    <a:ln>
                      <a:solidFill>
                        <a:schemeClr val="accent1"/>
                      </a:solidFill>
                    </a:ln>
                  </pic:spPr>
                </pic:pic>
              </a:graphicData>
            </a:graphic>
          </wp:inline>
        </w:drawing>
      </w:r>
    </w:p>
    <w:p w14:paraId="62577249" w14:textId="602AA7C0" w:rsidR="00507494" w:rsidRDefault="00F6697D" w:rsidP="00507494">
      <w:pPr>
        <w:pStyle w:val="Figure"/>
      </w:pPr>
      <w:r>
        <w:t>Selecting items to include in the Handover Dossier PDF</w:t>
      </w:r>
      <w:r w:rsidR="00507494">
        <w:t xml:space="preserve"> </w:t>
      </w:r>
    </w:p>
    <w:p w14:paraId="535E28B4" w14:textId="77777777" w:rsidR="0095208D" w:rsidRDefault="00F968D4" w:rsidP="00507494">
      <w:r>
        <w:t>The Full Handover Documentation functionality has been extended to the creation of a full Hando</w:t>
      </w:r>
      <w:r w:rsidR="0004205C">
        <w:t>ver Dossier.</w:t>
      </w:r>
      <w:r w:rsidR="00F92D76">
        <w:t xml:space="preserve"> </w:t>
      </w:r>
      <w:r w:rsidR="003809C4">
        <w:t xml:space="preserve">Each time the dossier is generated </w:t>
      </w:r>
      <w:r w:rsidR="0095208D">
        <w:t xml:space="preserve">the user may choose exactly which items they wish to include. </w:t>
      </w:r>
    </w:p>
    <w:p w14:paraId="4FC83987" w14:textId="66512EC2" w:rsidR="00507494" w:rsidRDefault="00E3096C" w:rsidP="00507494">
      <w:r>
        <w:t xml:space="preserve">As well as the existing </w:t>
      </w:r>
      <w:r w:rsidR="00000CF9">
        <w:t>items t</w:t>
      </w:r>
      <w:r w:rsidR="001865AB">
        <w:t xml:space="preserve">here are now options </w:t>
      </w:r>
      <w:r w:rsidR="00363A9B">
        <w:t>to include</w:t>
      </w:r>
      <w:r w:rsidR="001865AB">
        <w:t>:</w:t>
      </w:r>
    </w:p>
    <w:p w14:paraId="40AC339C" w14:textId="6FBD1530" w:rsidR="003702AC" w:rsidRDefault="003702AC" w:rsidP="00E64FDB">
      <w:pPr>
        <w:pStyle w:val="ListParagraph"/>
        <w:numPr>
          <w:ilvl w:val="0"/>
          <w:numId w:val="22"/>
        </w:numPr>
      </w:pPr>
      <w:r>
        <w:t xml:space="preserve">Lists of </w:t>
      </w:r>
      <w:r w:rsidR="00363A9B">
        <w:t xml:space="preserve">items, such as </w:t>
      </w:r>
      <w:r w:rsidR="00CD34C7">
        <w:t xml:space="preserve">Tagged Items, </w:t>
      </w:r>
      <w:r>
        <w:t>Punch List Items, MOCs</w:t>
      </w:r>
      <w:r w:rsidR="00D74E04">
        <w:t>,</w:t>
      </w:r>
      <w:r>
        <w:t xml:space="preserve"> and</w:t>
      </w:r>
      <w:r w:rsidR="00363A9B">
        <w:t xml:space="preserve"> </w:t>
      </w:r>
      <w:r>
        <w:t>Tag PWLs</w:t>
      </w:r>
      <w:r w:rsidR="00363A9B">
        <w:t>.</w:t>
      </w:r>
    </w:p>
    <w:p w14:paraId="4510DE57" w14:textId="0DB18EB9" w:rsidR="003702AC" w:rsidRDefault="003702AC" w:rsidP="003702AC">
      <w:pPr>
        <w:pStyle w:val="ListParagraph"/>
        <w:numPr>
          <w:ilvl w:val="0"/>
          <w:numId w:val="22"/>
        </w:numPr>
      </w:pPr>
      <w:r>
        <w:t xml:space="preserve">Attachments from </w:t>
      </w:r>
      <w:r w:rsidR="00E85E68">
        <w:t>Tag ITRs, PLIs</w:t>
      </w:r>
      <w:r w:rsidR="00D74E04">
        <w:t>,</w:t>
      </w:r>
      <w:r w:rsidR="00E85E68">
        <w:t xml:space="preserve"> and Tag PWLs</w:t>
      </w:r>
    </w:p>
    <w:p w14:paraId="3D3881C4" w14:textId="023F2EF6" w:rsidR="00E85E68" w:rsidRDefault="00363A9B" w:rsidP="003702AC">
      <w:pPr>
        <w:pStyle w:val="ListParagraph"/>
        <w:numPr>
          <w:ilvl w:val="0"/>
          <w:numId w:val="22"/>
        </w:numPr>
      </w:pPr>
      <w:r>
        <w:t xml:space="preserve">Digital Documents from </w:t>
      </w:r>
      <w:r w:rsidR="00E85E68">
        <w:t>Tag PWLs</w:t>
      </w:r>
    </w:p>
    <w:p w14:paraId="1A53BD43" w14:textId="253F6004" w:rsidR="00EF48E4" w:rsidRDefault="00D16356" w:rsidP="00D16356">
      <w:r>
        <w:t>The Dossier is generated as a single PDF</w:t>
      </w:r>
      <w:r w:rsidR="00000CF9">
        <w:t>,</w:t>
      </w:r>
      <w:r>
        <w:t xml:space="preserve"> and this generat</w:t>
      </w:r>
      <w:r w:rsidR="00EF48E4">
        <w:t>ion</w:t>
      </w:r>
      <w:r>
        <w:t xml:space="preserve"> is performed in the background. This means </w:t>
      </w:r>
      <w:r w:rsidR="00000CF9">
        <w:t xml:space="preserve">after clicking the </w:t>
      </w:r>
      <w:r w:rsidR="00EF48E4">
        <w:t>G</w:t>
      </w:r>
      <w:r w:rsidR="00000CF9">
        <w:t xml:space="preserve">enerate button </w:t>
      </w:r>
      <w:r>
        <w:t>the user can navigate away from the page to perform other task</w:t>
      </w:r>
      <w:r w:rsidR="00000CF9">
        <w:t>s</w:t>
      </w:r>
      <w:r>
        <w:t xml:space="preserve">, and you will be notified </w:t>
      </w:r>
      <w:r w:rsidR="00E313AA">
        <w:t xml:space="preserve">through an email or on-screen notification when the </w:t>
      </w:r>
      <w:r w:rsidR="00EF48E4">
        <w:t>file is ready for download</w:t>
      </w:r>
      <w:r w:rsidR="00E313AA">
        <w:t>.</w:t>
      </w:r>
    </w:p>
    <w:p w14:paraId="00A4F923" w14:textId="77777777" w:rsidR="005607A6" w:rsidRDefault="005607A6" w:rsidP="005607A6">
      <w:pPr>
        <w:jc w:val="center"/>
        <w:rPr>
          <w:b/>
        </w:rPr>
      </w:pPr>
      <w:r w:rsidRPr="008035A4">
        <w:rPr>
          <w:b/>
          <w:noProof/>
        </w:rPr>
        <w:drawing>
          <wp:inline distT="0" distB="0" distL="0" distR="0" wp14:anchorId="2C8E8F3F" wp14:editId="3E2C7717">
            <wp:extent cx="5435411" cy="1988677"/>
            <wp:effectExtent l="19050" t="19050" r="1333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435411" cy="1988677"/>
                    </a:xfrm>
                    <a:prstGeom prst="rect">
                      <a:avLst/>
                    </a:prstGeom>
                    <a:ln>
                      <a:solidFill>
                        <a:schemeClr val="accent1"/>
                      </a:solidFill>
                    </a:ln>
                  </pic:spPr>
                </pic:pic>
              </a:graphicData>
            </a:graphic>
          </wp:inline>
        </w:drawing>
      </w:r>
    </w:p>
    <w:p w14:paraId="53F657AE" w14:textId="22B86FD5" w:rsidR="005607A6" w:rsidRDefault="00C4333A" w:rsidP="00C4333A">
      <w:pPr>
        <w:pStyle w:val="Figure"/>
      </w:pPr>
      <w:r>
        <w:t>The Download button for a generated Handover Dossier</w:t>
      </w:r>
      <w:r w:rsidR="005607A6">
        <w:t xml:space="preserve"> </w:t>
      </w:r>
    </w:p>
    <w:p w14:paraId="448D7B7C" w14:textId="62E0D472" w:rsidR="00507494" w:rsidRDefault="00EF48E4" w:rsidP="00AA0A8A">
      <w:r>
        <w:t>To download the file, return to the Handover page</w:t>
      </w:r>
      <w:r w:rsidR="000140C3">
        <w:t xml:space="preserve"> and click the Download button.</w:t>
      </w:r>
    </w:p>
    <w:p w14:paraId="2787BA8F" w14:textId="29573A4A" w:rsidR="008C2040" w:rsidRDefault="00DD073D" w:rsidP="008C2040">
      <w:pPr>
        <w:pStyle w:val="Woodsubhead1-bulletednumberteal"/>
      </w:pPr>
      <w:r>
        <w:t xml:space="preserve">Tag Set </w:t>
      </w:r>
      <w:r w:rsidR="008C2040">
        <w:t>Warning Messages</w:t>
      </w:r>
    </w:p>
    <w:p w14:paraId="1D0CD200" w14:textId="5B43D5A1" w:rsidR="008C2040" w:rsidRDefault="008C2040" w:rsidP="008C2040">
      <w:pPr>
        <w:rPr>
          <w:b/>
        </w:rPr>
      </w:pPr>
      <w:r w:rsidRPr="00530AD7">
        <w:rPr>
          <w:b/>
        </w:rPr>
        <w:t>For more details</w:t>
      </w:r>
      <w:r w:rsidR="00530AD7" w:rsidRPr="00530AD7">
        <w:rPr>
          <w:b/>
        </w:rPr>
        <w:t>,</w:t>
      </w:r>
      <w:r w:rsidRPr="00530AD7">
        <w:rPr>
          <w:b/>
        </w:rPr>
        <w:t xml:space="preserve"> please see section </w:t>
      </w:r>
      <w:r w:rsidR="00466FBE" w:rsidRPr="00530AD7">
        <w:rPr>
          <w:b/>
        </w:rPr>
        <w:t>25.4</w:t>
      </w:r>
      <w:r w:rsidRPr="00530AD7">
        <w:rPr>
          <w:b/>
        </w:rPr>
        <w:t xml:space="preserve"> – </w:t>
      </w:r>
      <w:r w:rsidR="00F06401" w:rsidRPr="00530AD7">
        <w:rPr>
          <w:b/>
        </w:rPr>
        <w:t xml:space="preserve">Warning Messages </w:t>
      </w:r>
      <w:r w:rsidRPr="00530AD7">
        <w:rPr>
          <w:b/>
        </w:rPr>
        <w:t>of the v1.</w:t>
      </w:r>
      <w:r w:rsidR="00F06401" w:rsidRPr="00530AD7">
        <w:rPr>
          <w:b/>
        </w:rPr>
        <w:t>44</w:t>
      </w:r>
      <w:r w:rsidRPr="00530AD7">
        <w:rPr>
          <w:b/>
        </w:rPr>
        <w:t xml:space="preserve"> Functional Specification</w:t>
      </w:r>
    </w:p>
    <w:p w14:paraId="0FE0F982" w14:textId="77777777" w:rsidR="008C2040" w:rsidRDefault="008C2040" w:rsidP="008C2040">
      <w:pPr>
        <w:jc w:val="center"/>
        <w:rPr>
          <w:b/>
        </w:rPr>
      </w:pPr>
      <w:r w:rsidRPr="008035A4">
        <w:rPr>
          <w:b/>
          <w:noProof/>
        </w:rPr>
        <w:lastRenderedPageBreak/>
        <w:drawing>
          <wp:inline distT="0" distB="0" distL="0" distR="0" wp14:anchorId="605AE43C" wp14:editId="3B66938D">
            <wp:extent cx="4432927" cy="2633559"/>
            <wp:effectExtent l="19050" t="19050" r="2540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32927" cy="2633559"/>
                    </a:xfrm>
                    <a:prstGeom prst="rect">
                      <a:avLst/>
                    </a:prstGeom>
                    <a:ln>
                      <a:solidFill>
                        <a:schemeClr val="accent1"/>
                      </a:solidFill>
                    </a:ln>
                  </pic:spPr>
                </pic:pic>
              </a:graphicData>
            </a:graphic>
          </wp:inline>
        </w:drawing>
      </w:r>
    </w:p>
    <w:p w14:paraId="44D0A9D9" w14:textId="15D2EAF8" w:rsidR="008C2040" w:rsidRDefault="006C12CA" w:rsidP="008C2040">
      <w:pPr>
        <w:pStyle w:val="Figure"/>
      </w:pPr>
      <w:r>
        <w:t>Warning message when adding a Tag to Tag Set</w:t>
      </w:r>
      <w:r w:rsidR="008C2040">
        <w:t xml:space="preserve"> </w:t>
      </w:r>
    </w:p>
    <w:p w14:paraId="5CA7CAF9" w14:textId="06B41B2A" w:rsidR="00E97979" w:rsidRDefault="00D029A1" w:rsidP="008C2040">
      <w:r>
        <w:t xml:space="preserve">Warning messages have been added </w:t>
      </w:r>
      <w:r w:rsidR="00F5694D">
        <w:t>in several places. These are intended</w:t>
      </w:r>
      <w:r w:rsidR="004B2216">
        <w:t xml:space="preserve"> to be a warning that you may not wish to proceed with the actio</w:t>
      </w:r>
      <w:r w:rsidR="00644E51">
        <w:t>n</w:t>
      </w:r>
      <w:r w:rsidR="0019177B">
        <w:t>, but t</w:t>
      </w:r>
      <w:r w:rsidR="00644E51">
        <w:t>hey do not prevent you from continuing if you choose to do so</w:t>
      </w:r>
      <w:r w:rsidR="004B2216">
        <w:t>.</w:t>
      </w:r>
    </w:p>
    <w:p w14:paraId="23DC334D" w14:textId="55571993" w:rsidR="00323670" w:rsidRDefault="00323670" w:rsidP="008C2040">
      <w:r>
        <w:t>Warning messages are displayed when attempting to add or remove a Tag or a Cable from a Tag Set, where a Tag ITR against the Tag Set has already been signed off.</w:t>
      </w:r>
      <w:r w:rsidR="00DD073D">
        <w:t xml:space="preserve"> The message will be displayed when modifying the Tag Set through the Add/Edit pages, through the imports, or through the API.</w:t>
      </w:r>
    </w:p>
    <w:p w14:paraId="42C80AEA" w14:textId="12470DC1" w:rsidR="00A13921" w:rsidRDefault="00A13921" w:rsidP="00A13921">
      <w:pPr>
        <w:pStyle w:val="Woodsubhead1-bulletednumberteal"/>
      </w:pPr>
      <w:r>
        <w:t>Handover Warning Messages</w:t>
      </w:r>
    </w:p>
    <w:p w14:paraId="2C10FA86" w14:textId="0FA30A1A" w:rsidR="00A13921" w:rsidRDefault="00A13921" w:rsidP="00A13921">
      <w:pPr>
        <w:rPr>
          <w:b/>
        </w:rPr>
      </w:pPr>
      <w:r w:rsidRPr="00140FD4">
        <w:rPr>
          <w:b/>
        </w:rPr>
        <w:t>For more details</w:t>
      </w:r>
      <w:r w:rsidR="00140FD4">
        <w:rPr>
          <w:b/>
        </w:rPr>
        <w:t>,</w:t>
      </w:r>
      <w:r w:rsidRPr="00140FD4">
        <w:rPr>
          <w:b/>
        </w:rPr>
        <w:t xml:space="preserve"> please see section </w:t>
      </w:r>
      <w:r w:rsidR="000436E5" w:rsidRPr="00140FD4">
        <w:rPr>
          <w:b/>
        </w:rPr>
        <w:t>30.4</w:t>
      </w:r>
      <w:r w:rsidRPr="00140FD4">
        <w:rPr>
          <w:b/>
        </w:rPr>
        <w:t xml:space="preserve"> – </w:t>
      </w:r>
      <w:r w:rsidR="000436E5" w:rsidRPr="00140FD4">
        <w:rPr>
          <w:b/>
        </w:rPr>
        <w:t>Warning Messages</w:t>
      </w:r>
      <w:r w:rsidRPr="00140FD4">
        <w:rPr>
          <w:b/>
        </w:rPr>
        <w:t xml:space="preserve"> of the v1.</w:t>
      </w:r>
      <w:r w:rsidR="000436E5" w:rsidRPr="00140FD4">
        <w:rPr>
          <w:b/>
        </w:rPr>
        <w:t>43</w:t>
      </w:r>
      <w:r w:rsidRPr="00140FD4">
        <w:rPr>
          <w:b/>
        </w:rPr>
        <w:t xml:space="preserve"> Functional Specification</w:t>
      </w:r>
    </w:p>
    <w:p w14:paraId="2267B309" w14:textId="77777777" w:rsidR="00A13921" w:rsidRDefault="00A13921" w:rsidP="00A13921">
      <w:pPr>
        <w:jc w:val="center"/>
        <w:rPr>
          <w:b/>
        </w:rPr>
      </w:pPr>
      <w:r w:rsidRPr="008035A4">
        <w:rPr>
          <w:b/>
          <w:noProof/>
        </w:rPr>
        <w:drawing>
          <wp:inline distT="0" distB="0" distL="0" distR="0" wp14:anchorId="4C0CBF5E" wp14:editId="45D6528E">
            <wp:extent cx="4432927" cy="1748564"/>
            <wp:effectExtent l="19050" t="19050" r="25400"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32927" cy="1748564"/>
                    </a:xfrm>
                    <a:prstGeom prst="rect">
                      <a:avLst/>
                    </a:prstGeom>
                    <a:ln>
                      <a:solidFill>
                        <a:schemeClr val="accent1"/>
                      </a:solidFill>
                    </a:ln>
                  </pic:spPr>
                </pic:pic>
              </a:graphicData>
            </a:graphic>
          </wp:inline>
        </w:drawing>
      </w:r>
    </w:p>
    <w:p w14:paraId="7F4C1743" w14:textId="1E1EBB75" w:rsidR="00A13921" w:rsidRDefault="00A13921" w:rsidP="00A13921">
      <w:pPr>
        <w:pStyle w:val="Figure"/>
      </w:pPr>
      <w:r>
        <w:t xml:space="preserve">Warning message when </w:t>
      </w:r>
      <w:r w:rsidR="007675E7">
        <w:t>setting the Sub System on a Tag</w:t>
      </w:r>
      <w:r w:rsidR="00A421F2">
        <w:t xml:space="preserve"> to a Sub System that already </w:t>
      </w:r>
      <w:r w:rsidR="00AD2542">
        <w:t>has a signed off Handover</w:t>
      </w:r>
      <w:r>
        <w:t xml:space="preserve"> </w:t>
      </w:r>
    </w:p>
    <w:p w14:paraId="4E2F19A2" w14:textId="60260A30" w:rsidR="00A13921" w:rsidRDefault="00A13921" w:rsidP="00A13921">
      <w:pPr>
        <w:pStyle w:val="WoodBody"/>
      </w:pPr>
      <w:r>
        <w:t>Warning messages will be displayed when changing the content of a Handover that has already been completed, for example, adding a Tagged Item to a Sub System that has already gone through a Handover.</w:t>
      </w:r>
    </w:p>
    <w:p w14:paraId="364006B9" w14:textId="7FFE8178" w:rsidR="00507494" w:rsidRDefault="0098009C" w:rsidP="00507494">
      <w:pPr>
        <w:pStyle w:val="Woodsubhead1-bulletednumberteal"/>
      </w:pPr>
      <w:r>
        <w:t>Handovers by ITR Discipline</w:t>
      </w:r>
    </w:p>
    <w:p w14:paraId="514EAFF6" w14:textId="78421391" w:rsidR="00507494" w:rsidRDefault="00507494" w:rsidP="00507494">
      <w:pPr>
        <w:rPr>
          <w:b/>
        </w:rPr>
      </w:pPr>
      <w:r w:rsidRPr="005215EE">
        <w:rPr>
          <w:b/>
        </w:rPr>
        <w:t>For more details</w:t>
      </w:r>
      <w:r w:rsidR="005215EE" w:rsidRPr="005215EE">
        <w:rPr>
          <w:b/>
        </w:rPr>
        <w:t>,</w:t>
      </w:r>
      <w:r w:rsidRPr="005215EE">
        <w:rPr>
          <w:b/>
        </w:rPr>
        <w:t xml:space="preserve"> please see section </w:t>
      </w:r>
      <w:r w:rsidR="005215EE" w:rsidRPr="005215EE">
        <w:rPr>
          <w:b/>
        </w:rPr>
        <w:t>30</w:t>
      </w:r>
      <w:r w:rsidRPr="005215EE">
        <w:rPr>
          <w:b/>
        </w:rPr>
        <w:t xml:space="preserve"> – </w:t>
      </w:r>
      <w:r w:rsidR="005215EE" w:rsidRPr="005215EE">
        <w:rPr>
          <w:b/>
        </w:rPr>
        <w:t>Handovers</w:t>
      </w:r>
      <w:r w:rsidRPr="005215EE">
        <w:rPr>
          <w:b/>
        </w:rPr>
        <w:t xml:space="preserve"> of the v1.</w:t>
      </w:r>
      <w:r w:rsidR="005215EE" w:rsidRPr="005215EE">
        <w:rPr>
          <w:b/>
        </w:rPr>
        <w:t>44</w:t>
      </w:r>
      <w:r w:rsidRPr="005215EE">
        <w:rPr>
          <w:b/>
        </w:rPr>
        <w:t xml:space="preserve"> Functional Specification</w:t>
      </w:r>
    </w:p>
    <w:p w14:paraId="52C15884" w14:textId="77777777" w:rsidR="00507494" w:rsidRDefault="00507494" w:rsidP="00507494">
      <w:pPr>
        <w:jc w:val="center"/>
        <w:rPr>
          <w:b/>
        </w:rPr>
      </w:pPr>
      <w:r w:rsidRPr="008035A4">
        <w:rPr>
          <w:b/>
          <w:noProof/>
        </w:rPr>
        <w:lastRenderedPageBreak/>
        <w:drawing>
          <wp:inline distT="0" distB="0" distL="0" distR="0" wp14:anchorId="118BED5E" wp14:editId="030E8358">
            <wp:extent cx="5497562" cy="2313055"/>
            <wp:effectExtent l="19050" t="19050" r="27305"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5497562" cy="2313055"/>
                    </a:xfrm>
                    <a:prstGeom prst="rect">
                      <a:avLst/>
                    </a:prstGeom>
                    <a:ln>
                      <a:solidFill>
                        <a:schemeClr val="accent1"/>
                      </a:solidFill>
                    </a:ln>
                  </pic:spPr>
                </pic:pic>
              </a:graphicData>
            </a:graphic>
          </wp:inline>
        </w:drawing>
      </w:r>
    </w:p>
    <w:p w14:paraId="5E6DAC39" w14:textId="53E0E8DF" w:rsidR="00507494" w:rsidRDefault="00507494" w:rsidP="00507494">
      <w:pPr>
        <w:pStyle w:val="Figure"/>
      </w:pPr>
      <w:r>
        <w:t>S</w:t>
      </w:r>
      <w:r w:rsidR="002F36BB">
        <w:t>electing the Discipline source when creating a Handover Type</w:t>
      </w:r>
      <w:r>
        <w:t xml:space="preserve"> </w:t>
      </w:r>
    </w:p>
    <w:p w14:paraId="72B21E44" w14:textId="35009E3A" w:rsidR="00507494" w:rsidRDefault="00877CCD" w:rsidP="00AA0A8A">
      <w:r>
        <w:t>There is now the option to define Handovers based on the Tag Discipline rather than the ITR Discipline. This is set using the Discipline field on the Handover Type.</w:t>
      </w:r>
    </w:p>
    <w:p w14:paraId="4DFC5C63" w14:textId="77777777" w:rsidR="00C63D01" w:rsidRPr="00C63D01" w:rsidRDefault="00C63D01" w:rsidP="00C63D01">
      <w:pPr>
        <w:pStyle w:val="Woodsubhead1-bulletednumberteal"/>
      </w:pPr>
      <w:r>
        <w:t>API – Sign Off Type on Tag ITR</w:t>
      </w:r>
      <w:r w:rsidRPr="00C47D33">
        <w:rPr>
          <w:highlight w:val="yellow"/>
        </w:rPr>
        <w:t xml:space="preserve"> </w:t>
      </w:r>
    </w:p>
    <w:p w14:paraId="649E1596" w14:textId="77777777" w:rsidR="00C66A90" w:rsidRDefault="00953FB5" w:rsidP="00507494">
      <w:r>
        <w:t>The API end points to fetch Tag ITRs, now include information</w:t>
      </w:r>
      <w:r w:rsidR="00831E4E">
        <w:t xml:space="preserve"> about the type of sign off in addition to the name and date. </w:t>
      </w:r>
    </w:p>
    <w:p w14:paraId="7447EA19" w14:textId="353CC80F" w:rsidR="00507494" w:rsidRDefault="00C66A90" w:rsidP="00AA0A8A">
      <w:r>
        <w:t>For more details see the Swagger page</w:t>
      </w:r>
      <w:r w:rsidR="00746A4A">
        <w:t xml:space="preserve"> on your hub2 instance</w:t>
      </w:r>
      <w:r>
        <w:t xml:space="preserve">: </w:t>
      </w:r>
      <w:hyperlink r:id="rId20" w:history="1">
        <w:r w:rsidRPr="005D0BBC">
          <w:rPr>
            <w:rStyle w:val="Hyperlink"/>
          </w:rPr>
          <w:t>https://</w:t>
        </w:r>
        <w:r w:rsidRPr="003848C0">
          <w:rPr>
            <w:rStyle w:val="Hyperlink"/>
          </w:rPr>
          <w:t>your-instance</w:t>
        </w:r>
        <w:r w:rsidRPr="005D0BBC">
          <w:rPr>
            <w:rStyle w:val="Hyperlink"/>
          </w:rPr>
          <w:t>.gotechnology.online/swagger</w:t>
        </w:r>
      </w:hyperlink>
    </w:p>
    <w:p w14:paraId="417071BF" w14:textId="77777777" w:rsidR="00AA0A8A" w:rsidRPr="001670BF" w:rsidRDefault="00AA0A8A" w:rsidP="00AA0A8A">
      <w:pPr>
        <w:pStyle w:val="Woodsubhead1-bulletednumberteal"/>
        <w:numPr>
          <w:ilvl w:val="0"/>
          <w:numId w:val="0"/>
        </w:numPr>
        <w:ind w:left="284" w:hanging="284"/>
      </w:pPr>
    </w:p>
    <w:sectPr w:rsidR="00AA0A8A" w:rsidRPr="001670BF" w:rsidSect="00BE24DC">
      <w:headerReference w:type="default" r:id="rId21"/>
      <w:footerReference w:type="default" r:id="rId22"/>
      <w:headerReference w:type="first" r:id="rId23"/>
      <w:footerReference w:type="first" r:id="rId24"/>
      <w:pgSz w:w="11907" w:h="16839" w:code="9"/>
      <w:pgMar w:top="1985" w:right="851" w:bottom="567" w:left="851" w:header="1985"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A1944" w14:textId="77777777" w:rsidR="00AC50C9" w:rsidRDefault="00AC50C9" w:rsidP="002C6747">
      <w:pPr>
        <w:spacing w:after="0"/>
      </w:pPr>
      <w:r>
        <w:separator/>
      </w:r>
    </w:p>
  </w:endnote>
  <w:endnote w:type="continuationSeparator" w:id="0">
    <w:p w14:paraId="607430C8" w14:textId="77777777" w:rsidR="00AC50C9" w:rsidRDefault="00AC50C9" w:rsidP="002C67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15729" w14:textId="51939200" w:rsidR="00AE1365" w:rsidRPr="00E630FD" w:rsidRDefault="007F7CC5" w:rsidP="0081736A">
    <w:pPr>
      <w:pStyle w:val="WoodBody"/>
      <w:spacing w:before="360" w:after="0"/>
    </w:pPr>
    <w:r w:rsidRPr="0081736A">
      <w:rPr>
        <w:rStyle w:val="WoodFooterChar"/>
      </w:rPr>
      <w:fldChar w:fldCharType="begin"/>
    </w:r>
    <w:r w:rsidRPr="0081736A">
      <w:rPr>
        <w:rStyle w:val="WoodFooterChar"/>
      </w:rPr>
      <w:instrText xml:space="preserve"> PAGE  \* Arabic  \* MERGEFORMAT </w:instrText>
    </w:r>
    <w:r w:rsidRPr="0081736A">
      <w:rPr>
        <w:rStyle w:val="WoodFooterChar"/>
      </w:rPr>
      <w:fldChar w:fldCharType="separate"/>
    </w:r>
    <w:r w:rsidR="001F0274" w:rsidRPr="0081736A">
      <w:rPr>
        <w:rStyle w:val="WoodFooterChar"/>
      </w:rPr>
      <w:t>2</w:t>
    </w:r>
    <w:r w:rsidRPr="0081736A">
      <w:rPr>
        <w:rStyle w:val="WoodFooterChar"/>
      </w:rPr>
      <w:fldChar w:fldCharType="end"/>
    </w:r>
    <w:r w:rsidR="002F36BB">
      <w:rPr>
        <w:rStyle w:val="WoodFooterChar"/>
      </w:rPr>
      <w:tab/>
      <w:t>GoTechnology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9130342"/>
      <w:docPartObj>
        <w:docPartGallery w:val="Page Numbers (Bottom of Page)"/>
        <w:docPartUnique/>
      </w:docPartObj>
    </w:sdtPr>
    <w:sdtEndPr>
      <w:rPr>
        <w:noProof/>
      </w:rPr>
    </w:sdtEndPr>
    <w:sdtContent>
      <w:p w14:paraId="6127A07B" w14:textId="77777777" w:rsidR="00081211" w:rsidRDefault="00081211" w:rsidP="00E34C8C">
        <w:pPr>
          <w:pStyle w:val="Footer"/>
          <w:tabs>
            <w:tab w:val="clear" w:pos="4680"/>
            <w:tab w:val="center" w:pos="851"/>
          </w:tabs>
          <w:jc w:val="both"/>
        </w:pPr>
        <w:r>
          <w:rPr>
            <w:noProof/>
          </w:rPr>
          <w:drawing>
            <wp:anchor distT="0" distB="0" distL="114300" distR="114300" simplePos="0" relativeHeight="251657728" behindDoc="0" locked="0" layoutInCell="1" allowOverlap="1" wp14:anchorId="1E9E60A1" wp14:editId="3CEDC905">
              <wp:simplePos x="0" y="0"/>
              <wp:positionH relativeFrom="margin">
                <wp:posOffset>5046980</wp:posOffset>
              </wp:positionH>
              <wp:positionV relativeFrom="paragraph">
                <wp:posOffset>-444682</wp:posOffset>
              </wp:positionV>
              <wp:extent cx="1969770" cy="9779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val="0"/>
                          </a:ext>
                        </a:extLst>
                      </a:blip>
                      <a:srcRect r="8819"/>
                      <a:stretch/>
                    </pic:blipFill>
                    <pic:spPr bwMode="auto">
                      <a:xfrm>
                        <a:off x="0" y="0"/>
                        <a:ext cx="1969770" cy="97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448063" w14:textId="77777777" w:rsidR="00081211" w:rsidRDefault="00081211" w:rsidP="00E34C8C">
        <w:pPr>
          <w:pStyle w:val="Footer"/>
          <w:tabs>
            <w:tab w:val="clear" w:pos="4680"/>
            <w:tab w:val="center" w:pos="851"/>
          </w:tabs>
          <w:jc w:val="both"/>
        </w:pPr>
      </w:p>
      <w:p w14:paraId="06FE3521" w14:textId="77777777" w:rsidR="00081211" w:rsidRDefault="00081211" w:rsidP="00E34C8C">
        <w:pPr>
          <w:pStyle w:val="Footer"/>
          <w:tabs>
            <w:tab w:val="clear" w:pos="4680"/>
            <w:tab w:val="center" w:pos="851"/>
          </w:tabs>
          <w:jc w:val="both"/>
        </w:pPr>
      </w:p>
      <w:p w14:paraId="6148DA53" w14:textId="77777777" w:rsidR="00081211" w:rsidRDefault="00081211" w:rsidP="00E34C8C">
        <w:pPr>
          <w:pStyle w:val="Footer"/>
          <w:tabs>
            <w:tab w:val="clear" w:pos="4680"/>
            <w:tab w:val="center" w:pos="851"/>
          </w:tabs>
          <w:jc w:val="both"/>
        </w:pPr>
      </w:p>
      <w:p w14:paraId="42EC89DA" w14:textId="77777777" w:rsidR="00081211" w:rsidRDefault="00081211" w:rsidP="00E34C8C">
        <w:pPr>
          <w:pStyle w:val="Footer"/>
          <w:tabs>
            <w:tab w:val="clear" w:pos="4680"/>
            <w:tab w:val="center" w:pos="851"/>
          </w:tabs>
          <w:jc w:val="both"/>
        </w:pPr>
      </w:p>
      <w:p w14:paraId="07715906" w14:textId="77777777" w:rsidR="00CB61A5" w:rsidRPr="00E34C8C" w:rsidRDefault="00E34C8C" w:rsidP="00E34C8C">
        <w:pPr>
          <w:pStyle w:val="Footer"/>
          <w:tabs>
            <w:tab w:val="clear" w:pos="4680"/>
            <w:tab w:val="center" w:pos="851"/>
          </w:tabs>
          <w:jc w:val="both"/>
        </w:pPr>
        <w:r>
          <w:rPr>
            <w:noProof/>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E139B" w14:textId="77777777" w:rsidR="00AC50C9" w:rsidRDefault="00AC50C9" w:rsidP="002C6747">
      <w:pPr>
        <w:spacing w:after="0"/>
      </w:pPr>
      <w:r>
        <w:separator/>
      </w:r>
    </w:p>
  </w:footnote>
  <w:footnote w:type="continuationSeparator" w:id="0">
    <w:p w14:paraId="0FE71F3A" w14:textId="77777777" w:rsidR="00AC50C9" w:rsidRDefault="00AC50C9" w:rsidP="002C67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13A9F" w14:textId="77777777" w:rsidR="00255FB1" w:rsidRDefault="001F0274" w:rsidP="00535582">
    <w:pPr>
      <w:pStyle w:val="Header"/>
      <w:tabs>
        <w:tab w:val="clear" w:pos="4680"/>
        <w:tab w:val="clear" w:pos="9360"/>
      </w:tabs>
    </w:pPr>
    <w:r>
      <w:rPr>
        <w:noProof/>
      </w:rPr>
      <w:drawing>
        <wp:anchor distT="0" distB="0" distL="114300" distR="114300" simplePos="0" relativeHeight="251656704" behindDoc="1" locked="0" layoutInCell="1" allowOverlap="1" wp14:anchorId="02445E55" wp14:editId="13E3A0D9">
          <wp:simplePos x="0" y="0"/>
          <wp:positionH relativeFrom="margin">
            <wp:posOffset>5033010</wp:posOffset>
          </wp:positionH>
          <wp:positionV relativeFrom="margin">
            <wp:posOffset>-1412240</wp:posOffset>
          </wp:positionV>
          <wp:extent cx="1969770" cy="977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val="0"/>
                      </a:ext>
                    </a:extLst>
                  </a:blip>
                  <a:srcRect r="8819"/>
                  <a:stretch/>
                </pic:blipFill>
                <pic:spPr bwMode="auto">
                  <a:xfrm>
                    <a:off x="0" y="0"/>
                    <a:ext cx="1969770" cy="97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4A18" w14:textId="6D1D4910" w:rsidR="002C3373" w:rsidRDefault="002C33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631FF"/>
    <w:multiLevelType w:val="hybridMultilevel"/>
    <w:tmpl w:val="5C3AA5AA"/>
    <w:lvl w:ilvl="0" w:tplc="21FAB60A">
      <w:start w:val="1"/>
      <w:numFmt w:val="decimal"/>
      <w:pStyle w:val="Numberedbullet"/>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 w15:restartNumberingAfterBreak="0">
    <w:nsid w:val="13166A09"/>
    <w:multiLevelType w:val="hybridMultilevel"/>
    <w:tmpl w:val="56B8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C77C4E"/>
    <w:multiLevelType w:val="hybridMultilevel"/>
    <w:tmpl w:val="936C109C"/>
    <w:lvl w:ilvl="0" w:tplc="263AFA1E">
      <w:start w:val="1"/>
      <w:numFmt w:val="decimal"/>
      <w:pStyle w:val="Figure"/>
      <w:lvlText w:val="Figure %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B887857"/>
    <w:multiLevelType w:val="hybridMultilevel"/>
    <w:tmpl w:val="F1CCC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341930"/>
    <w:multiLevelType w:val="hybridMultilevel"/>
    <w:tmpl w:val="F4867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60D2C"/>
    <w:multiLevelType w:val="hybridMultilevel"/>
    <w:tmpl w:val="22AC7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479DE"/>
    <w:multiLevelType w:val="hybridMultilevel"/>
    <w:tmpl w:val="F4FAA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A32CD2"/>
    <w:multiLevelType w:val="hybridMultilevel"/>
    <w:tmpl w:val="4418C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3C7E23"/>
    <w:multiLevelType w:val="hybridMultilevel"/>
    <w:tmpl w:val="9BD81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250762"/>
    <w:multiLevelType w:val="hybridMultilevel"/>
    <w:tmpl w:val="C9B4A924"/>
    <w:lvl w:ilvl="0" w:tplc="08090001">
      <w:start w:val="1"/>
      <w:numFmt w:val="bullet"/>
      <w:lvlText w:val=""/>
      <w:lvlJc w:val="left"/>
      <w:pPr>
        <w:ind w:left="720" w:hanging="360"/>
      </w:pPr>
      <w:rPr>
        <w:rFonts w:ascii="Symbol" w:hAnsi="Symbol" w:hint="default"/>
        <w:b/>
        <w:i w:val="0"/>
        <w:color w:val="A7AFB5" w:themeColor="accent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0777F3"/>
    <w:multiLevelType w:val="multilevel"/>
    <w:tmpl w:val="238C000C"/>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1.%2.%3.%4.%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514D2CB5"/>
    <w:multiLevelType w:val="hybridMultilevel"/>
    <w:tmpl w:val="764244A0"/>
    <w:lvl w:ilvl="0" w:tplc="1FA0BF2C">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96512A"/>
    <w:multiLevelType w:val="hybridMultilevel"/>
    <w:tmpl w:val="D95AE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F90512"/>
    <w:multiLevelType w:val="hybridMultilevel"/>
    <w:tmpl w:val="5D32C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F111BE"/>
    <w:multiLevelType w:val="hybridMultilevel"/>
    <w:tmpl w:val="B4B4FBFE"/>
    <w:lvl w:ilvl="0" w:tplc="9B98B02A">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12592A"/>
    <w:multiLevelType w:val="hybridMultilevel"/>
    <w:tmpl w:val="F044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471276"/>
    <w:multiLevelType w:val="hybridMultilevel"/>
    <w:tmpl w:val="C1521B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587D50"/>
    <w:multiLevelType w:val="hybridMultilevel"/>
    <w:tmpl w:val="79A8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CF4021"/>
    <w:multiLevelType w:val="hybridMultilevel"/>
    <w:tmpl w:val="DB62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C81B5E"/>
    <w:multiLevelType w:val="hybridMultilevel"/>
    <w:tmpl w:val="4028B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F46B4D"/>
    <w:multiLevelType w:val="hybridMultilevel"/>
    <w:tmpl w:val="803C0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41385B"/>
    <w:multiLevelType w:val="hybridMultilevel"/>
    <w:tmpl w:val="4B30CD18"/>
    <w:lvl w:ilvl="0" w:tplc="DEC60DE8">
      <w:start w:val="1"/>
      <w:numFmt w:val="decimal"/>
      <w:pStyle w:val="Woodsubhead1-bulletednumberte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73957189">
    <w:abstractNumId w:val="8"/>
  </w:num>
  <w:num w:numId="2" w16cid:durableId="1281692387">
    <w:abstractNumId w:val="16"/>
  </w:num>
  <w:num w:numId="3" w16cid:durableId="325742054">
    <w:abstractNumId w:val="11"/>
  </w:num>
  <w:num w:numId="4" w16cid:durableId="1537889460">
    <w:abstractNumId w:val="13"/>
  </w:num>
  <w:num w:numId="5" w16cid:durableId="720902473">
    <w:abstractNumId w:val="21"/>
  </w:num>
  <w:num w:numId="6" w16cid:durableId="1197043732">
    <w:abstractNumId w:val="14"/>
  </w:num>
  <w:num w:numId="7" w16cid:durableId="547374394">
    <w:abstractNumId w:val="7"/>
  </w:num>
  <w:num w:numId="8" w16cid:durableId="1116220602">
    <w:abstractNumId w:val="15"/>
  </w:num>
  <w:num w:numId="9" w16cid:durableId="55394463">
    <w:abstractNumId w:val="0"/>
  </w:num>
  <w:num w:numId="10" w16cid:durableId="67963643">
    <w:abstractNumId w:val="18"/>
  </w:num>
  <w:num w:numId="11" w16cid:durableId="2092044293">
    <w:abstractNumId w:val="6"/>
  </w:num>
  <w:num w:numId="12" w16cid:durableId="1081875313">
    <w:abstractNumId w:val="20"/>
  </w:num>
  <w:num w:numId="13" w16cid:durableId="184943581">
    <w:abstractNumId w:val="1"/>
  </w:num>
  <w:num w:numId="14" w16cid:durableId="133959162">
    <w:abstractNumId w:val="9"/>
  </w:num>
  <w:num w:numId="15" w16cid:durableId="2045444786">
    <w:abstractNumId w:val="5"/>
  </w:num>
  <w:num w:numId="16" w16cid:durableId="311065103">
    <w:abstractNumId w:val="3"/>
  </w:num>
  <w:num w:numId="17" w16cid:durableId="1106466749">
    <w:abstractNumId w:val="17"/>
  </w:num>
  <w:num w:numId="18" w16cid:durableId="939799569">
    <w:abstractNumId w:val="19"/>
  </w:num>
  <w:num w:numId="19" w16cid:durableId="640812105">
    <w:abstractNumId w:val="10"/>
  </w:num>
  <w:num w:numId="20" w16cid:durableId="616908167">
    <w:abstractNumId w:val="2"/>
  </w:num>
  <w:num w:numId="21" w16cid:durableId="841971736">
    <w:abstractNumId w:val="12"/>
  </w:num>
  <w:num w:numId="22" w16cid:durableId="1214611403">
    <w:abstractNumId w:val="4"/>
  </w:num>
  <w:num w:numId="23" w16cid:durableId="1979726382">
    <w:abstractNumId w:val="2"/>
    <w:lvlOverride w:ilvl="0">
      <w:startOverride w:val="1"/>
    </w:lvlOverride>
  </w:num>
  <w:num w:numId="24" w16cid:durableId="1340427898">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284"/>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0A8A"/>
    <w:rsid w:val="00000CF9"/>
    <w:rsid w:val="00004BD3"/>
    <w:rsid w:val="000140C3"/>
    <w:rsid w:val="000151ED"/>
    <w:rsid w:val="00016E50"/>
    <w:rsid w:val="00022867"/>
    <w:rsid w:val="00022F3C"/>
    <w:rsid w:val="00034836"/>
    <w:rsid w:val="0004205C"/>
    <w:rsid w:val="000436E5"/>
    <w:rsid w:val="00050FD7"/>
    <w:rsid w:val="000619F5"/>
    <w:rsid w:val="00067FFD"/>
    <w:rsid w:val="00070170"/>
    <w:rsid w:val="00077054"/>
    <w:rsid w:val="00081211"/>
    <w:rsid w:val="000825A9"/>
    <w:rsid w:val="00097932"/>
    <w:rsid w:val="000B03C8"/>
    <w:rsid w:val="000B2A7D"/>
    <w:rsid w:val="000B3FDC"/>
    <w:rsid w:val="000B785E"/>
    <w:rsid w:val="000D7DE4"/>
    <w:rsid w:val="000F08DD"/>
    <w:rsid w:val="001039AC"/>
    <w:rsid w:val="00113BC9"/>
    <w:rsid w:val="001172CB"/>
    <w:rsid w:val="00120480"/>
    <w:rsid w:val="0012241B"/>
    <w:rsid w:val="00122820"/>
    <w:rsid w:val="001248DD"/>
    <w:rsid w:val="00132D61"/>
    <w:rsid w:val="00140CFF"/>
    <w:rsid w:val="00140FD4"/>
    <w:rsid w:val="00141EF0"/>
    <w:rsid w:val="00152C65"/>
    <w:rsid w:val="00153D1A"/>
    <w:rsid w:val="00155CBE"/>
    <w:rsid w:val="00160589"/>
    <w:rsid w:val="0016310A"/>
    <w:rsid w:val="001670BF"/>
    <w:rsid w:val="0017571F"/>
    <w:rsid w:val="001865AB"/>
    <w:rsid w:val="0019177B"/>
    <w:rsid w:val="001A0876"/>
    <w:rsid w:val="001A63C1"/>
    <w:rsid w:val="001A64A5"/>
    <w:rsid w:val="001B06D9"/>
    <w:rsid w:val="001B2786"/>
    <w:rsid w:val="001C33C4"/>
    <w:rsid w:val="001D1A72"/>
    <w:rsid w:val="001D2FDE"/>
    <w:rsid w:val="001E3760"/>
    <w:rsid w:val="001F0274"/>
    <w:rsid w:val="001F1202"/>
    <w:rsid w:val="00216F00"/>
    <w:rsid w:val="0022105D"/>
    <w:rsid w:val="002252BC"/>
    <w:rsid w:val="00240B4F"/>
    <w:rsid w:val="00255645"/>
    <w:rsid w:val="00255FB1"/>
    <w:rsid w:val="00267E05"/>
    <w:rsid w:val="00273BF0"/>
    <w:rsid w:val="002767D6"/>
    <w:rsid w:val="00290267"/>
    <w:rsid w:val="00294A5B"/>
    <w:rsid w:val="002A1A9E"/>
    <w:rsid w:val="002A680E"/>
    <w:rsid w:val="002C16F7"/>
    <w:rsid w:val="002C3373"/>
    <w:rsid w:val="002C5D7A"/>
    <w:rsid w:val="002C6747"/>
    <w:rsid w:val="002D03F2"/>
    <w:rsid w:val="002D6B36"/>
    <w:rsid w:val="002E2E67"/>
    <w:rsid w:val="002E3B4F"/>
    <w:rsid w:val="002E5671"/>
    <w:rsid w:val="002F36BB"/>
    <w:rsid w:val="00315D42"/>
    <w:rsid w:val="0032086C"/>
    <w:rsid w:val="00323670"/>
    <w:rsid w:val="00327C5E"/>
    <w:rsid w:val="00335413"/>
    <w:rsid w:val="0034105E"/>
    <w:rsid w:val="0035052F"/>
    <w:rsid w:val="00355323"/>
    <w:rsid w:val="00363A9B"/>
    <w:rsid w:val="0036589C"/>
    <w:rsid w:val="003702AC"/>
    <w:rsid w:val="00372477"/>
    <w:rsid w:val="003809C4"/>
    <w:rsid w:val="00382A04"/>
    <w:rsid w:val="003848C0"/>
    <w:rsid w:val="00387E8B"/>
    <w:rsid w:val="00393C97"/>
    <w:rsid w:val="00396D36"/>
    <w:rsid w:val="00397078"/>
    <w:rsid w:val="003A6EBA"/>
    <w:rsid w:val="003B175B"/>
    <w:rsid w:val="003B4B98"/>
    <w:rsid w:val="003B5C5C"/>
    <w:rsid w:val="003E3352"/>
    <w:rsid w:val="003E3D5A"/>
    <w:rsid w:val="003E460C"/>
    <w:rsid w:val="004044C6"/>
    <w:rsid w:val="0041287D"/>
    <w:rsid w:val="00416312"/>
    <w:rsid w:val="00416EFC"/>
    <w:rsid w:val="00425B0C"/>
    <w:rsid w:val="0043470A"/>
    <w:rsid w:val="00434838"/>
    <w:rsid w:val="00440DE6"/>
    <w:rsid w:val="00442F18"/>
    <w:rsid w:val="00446E4A"/>
    <w:rsid w:val="00453972"/>
    <w:rsid w:val="00453D5F"/>
    <w:rsid w:val="004554AD"/>
    <w:rsid w:val="00463043"/>
    <w:rsid w:val="00466FBE"/>
    <w:rsid w:val="004755A2"/>
    <w:rsid w:val="00476669"/>
    <w:rsid w:val="00486AAC"/>
    <w:rsid w:val="00491969"/>
    <w:rsid w:val="004A2667"/>
    <w:rsid w:val="004A2B70"/>
    <w:rsid w:val="004B2216"/>
    <w:rsid w:val="004C143F"/>
    <w:rsid w:val="004C194E"/>
    <w:rsid w:val="004C3B4C"/>
    <w:rsid w:val="004E14F5"/>
    <w:rsid w:val="004E70A5"/>
    <w:rsid w:val="004E740A"/>
    <w:rsid w:val="004F3CF3"/>
    <w:rsid w:val="00505DB2"/>
    <w:rsid w:val="00507494"/>
    <w:rsid w:val="005215EE"/>
    <w:rsid w:val="00523E85"/>
    <w:rsid w:val="00530AD7"/>
    <w:rsid w:val="00533E35"/>
    <w:rsid w:val="00535582"/>
    <w:rsid w:val="005607A6"/>
    <w:rsid w:val="005625A6"/>
    <w:rsid w:val="00567E63"/>
    <w:rsid w:val="00582523"/>
    <w:rsid w:val="00590B83"/>
    <w:rsid w:val="005B14B1"/>
    <w:rsid w:val="005B253F"/>
    <w:rsid w:val="005C7BF5"/>
    <w:rsid w:val="005D7901"/>
    <w:rsid w:val="005E5FC1"/>
    <w:rsid w:val="00612FD7"/>
    <w:rsid w:val="0061780F"/>
    <w:rsid w:val="006264BD"/>
    <w:rsid w:val="00636579"/>
    <w:rsid w:val="00643E49"/>
    <w:rsid w:val="00644E51"/>
    <w:rsid w:val="0065570D"/>
    <w:rsid w:val="00672EE0"/>
    <w:rsid w:val="00681B8D"/>
    <w:rsid w:val="00685305"/>
    <w:rsid w:val="00690D1B"/>
    <w:rsid w:val="006A3A17"/>
    <w:rsid w:val="006B353F"/>
    <w:rsid w:val="006B52FD"/>
    <w:rsid w:val="006B5FD0"/>
    <w:rsid w:val="006B6E97"/>
    <w:rsid w:val="006C0AA6"/>
    <w:rsid w:val="006C12CA"/>
    <w:rsid w:val="006C39D6"/>
    <w:rsid w:val="006C3FFE"/>
    <w:rsid w:val="006C54F6"/>
    <w:rsid w:val="006C7C93"/>
    <w:rsid w:val="006D1E38"/>
    <w:rsid w:val="006D2280"/>
    <w:rsid w:val="006E59EA"/>
    <w:rsid w:val="006E617D"/>
    <w:rsid w:val="006E7E6D"/>
    <w:rsid w:val="0071459A"/>
    <w:rsid w:val="0072084B"/>
    <w:rsid w:val="00731972"/>
    <w:rsid w:val="00735C98"/>
    <w:rsid w:val="0074232A"/>
    <w:rsid w:val="00746A4A"/>
    <w:rsid w:val="00747691"/>
    <w:rsid w:val="007554EA"/>
    <w:rsid w:val="00755ED5"/>
    <w:rsid w:val="00763355"/>
    <w:rsid w:val="007675E7"/>
    <w:rsid w:val="00777815"/>
    <w:rsid w:val="007A1FDF"/>
    <w:rsid w:val="007B5A88"/>
    <w:rsid w:val="007C1999"/>
    <w:rsid w:val="007D379C"/>
    <w:rsid w:val="007D5581"/>
    <w:rsid w:val="007E1C1B"/>
    <w:rsid w:val="007E4374"/>
    <w:rsid w:val="007F57FF"/>
    <w:rsid w:val="007F5AEF"/>
    <w:rsid w:val="007F7CC5"/>
    <w:rsid w:val="0081736A"/>
    <w:rsid w:val="00831E4E"/>
    <w:rsid w:val="0083305C"/>
    <w:rsid w:val="008414BE"/>
    <w:rsid w:val="00876B41"/>
    <w:rsid w:val="00877CCD"/>
    <w:rsid w:val="00885791"/>
    <w:rsid w:val="00887507"/>
    <w:rsid w:val="00887AEA"/>
    <w:rsid w:val="00887E5B"/>
    <w:rsid w:val="008A22BD"/>
    <w:rsid w:val="008A67FF"/>
    <w:rsid w:val="008B4F0E"/>
    <w:rsid w:val="008B7D6E"/>
    <w:rsid w:val="008C0758"/>
    <w:rsid w:val="008C2040"/>
    <w:rsid w:val="008C3D88"/>
    <w:rsid w:val="008D29DE"/>
    <w:rsid w:val="008D2EF2"/>
    <w:rsid w:val="008E24D1"/>
    <w:rsid w:val="008F02B7"/>
    <w:rsid w:val="008F5A73"/>
    <w:rsid w:val="008F5C0C"/>
    <w:rsid w:val="008F743E"/>
    <w:rsid w:val="00903CFA"/>
    <w:rsid w:val="009129FE"/>
    <w:rsid w:val="009155CA"/>
    <w:rsid w:val="00916939"/>
    <w:rsid w:val="00916FE2"/>
    <w:rsid w:val="00926DE8"/>
    <w:rsid w:val="00930B1C"/>
    <w:rsid w:val="00933F8A"/>
    <w:rsid w:val="0093455F"/>
    <w:rsid w:val="0095208D"/>
    <w:rsid w:val="0095248D"/>
    <w:rsid w:val="00953FB5"/>
    <w:rsid w:val="00954582"/>
    <w:rsid w:val="00955738"/>
    <w:rsid w:val="00955B1B"/>
    <w:rsid w:val="009643F8"/>
    <w:rsid w:val="0096723B"/>
    <w:rsid w:val="0097340A"/>
    <w:rsid w:val="0098009C"/>
    <w:rsid w:val="009969A7"/>
    <w:rsid w:val="009A00B2"/>
    <w:rsid w:val="009A53A2"/>
    <w:rsid w:val="009A78A3"/>
    <w:rsid w:val="009C1BF6"/>
    <w:rsid w:val="009D3D37"/>
    <w:rsid w:val="00A01A45"/>
    <w:rsid w:val="00A01A61"/>
    <w:rsid w:val="00A12A3B"/>
    <w:rsid w:val="00A13921"/>
    <w:rsid w:val="00A16E50"/>
    <w:rsid w:val="00A22E8F"/>
    <w:rsid w:val="00A27C9B"/>
    <w:rsid w:val="00A30D1B"/>
    <w:rsid w:val="00A36DE0"/>
    <w:rsid w:val="00A421F2"/>
    <w:rsid w:val="00A4254E"/>
    <w:rsid w:val="00A45A7A"/>
    <w:rsid w:val="00A464D1"/>
    <w:rsid w:val="00A5157F"/>
    <w:rsid w:val="00A61475"/>
    <w:rsid w:val="00A61C3F"/>
    <w:rsid w:val="00A6427D"/>
    <w:rsid w:val="00A666C0"/>
    <w:rsid w:val="00A92154"/>
    <w:rsid w:val="00AA0A8A"/>
    <w:rsid w:val="00AA604E"/>
    <w:rsid w:val="00AC0617"/>
    <w:rsid w:val="00AC4851"/>
    <w:rsid w:val="00AC50C9"/>
    <w:rsid w:val="00AD2542"/>
    <w:rsid w:val="00AD6551"/>
    <w:rsid w:val="00AE1365"/>
    <w:rsid w:val="00AF49E5"/>
    <w:rsid w:val="00AF6C1F"/>
    <w:rsid w:val="00AF77B5"/>
    <w:rsid w:val="00B07455"/>
    <w:rsid w:val="00B1304E"/>
    <w:rsid w:val="00B14129"/>
    <w:rsid w:val="00B152B1"/>
    <w:rsid w:val="00B168C0"/>
    <w:rsid w:val="00B20765"/>
    <w:rsid w:val="00B241A6"/>
    <w:rsid w:val="00B3421F"/>
    <w:rsid w:val="00B40EB1"/>
    <w:rsid w:val="00B52B1D"/>
    <w:rsid w:val="00B567AD"/>
    <w:rsid w:val="00B632CC"/>
    <w:rsid w:val="00B64325"/>
    <w:rsid w:val="00B658D3"/>
    <w:rsid w:val="00B723C4"/>
    <w:rsid w:val="00B75536"/>
    <w:rsid w:val="00B97863"/>
    <w:rsid w:val="00BA5358"/>
    <w:rsid w:val="00BA7110"/>
    <w:rsid w:val="00BB287C"/>
    <w:rsid w:val="00BB6A21"/>
    <w:rsid w:val="00BB6F40"/>
    <w:rsid w:val="00BB7F38"/>
    <w:rsid w:val="00BC1C93"/>
    <w:rsid w:val="00BC3B19"/>
    <w:rsid w:val="00BC7AEC"/>
    <w:rsid w:val="00BD4460"/>
    <w:rsid w:val="00BD69AA"/>
    <w:rsid w:val="00BE24DC"/>
    <w:rsid w:val="00BE4557"/>
    <w:rsid w:val="00BE7840"/>
    <w:rsid w:val="00BF3FD1"/>
    <w:rsid w:val="00BF5185"/>
    <w:rsid w:val="00BF58C6"/>
    <w:rsid w:val="00C02710"/>
    <w:rsid w:val="00C0359C"/>
    <w:rsid w:val="00C20AF0"/>
    <w:rsid w:val="00C30505"/>
    <w:rsid w:val="00C4333A"/>
    <w:rsid w:val="00C47D33"/>
    <w:rsid w:val="00C63D01"/>
    <w:rsid w:val="00C66A90"/>
    <w:rsid w:val="00C77E9F"/>
    <w:rsid w:val="00C83503"/>
    <w:rsid w:val="00C929F1"/>
    <w:rsid w:val="00C95EC3"/>
    <w:rsid w:val="00CA09EF"/>
    <w:rsid w:val="00CA259C"/>
    <w:rsid w:val="00CA3690"/>
    <w:rsid w:val="00CA5678"/>
    <w:rsid w:val="00CA5776"/>
    <w:rsid w:val="00CA5FF7"/>
    <w:rsid w:val="00CB0352"/>
    <w:rsid w:val="00CB0A93"/>
    <w:rsid w:val="00CB17C0"/>
    <w:rsid w:val="00CB61A5"/>
    <w:rsid w:val="00CC63DD"/>
    <w:rsid w:val="00CD34C7"/>
    <w:rsid w:val="00CE4F6C"/>
    <w:rsid w:val="00CF244D"/>
    <w:rsid w:val="00D002AC"/>
    <w:rsid w:val="00D029A1"/>
    <w:rsid w:val="00D16356"/>
    <w:rsid w:val="00D17C9E"/>
    <w:rsid w:val="00D34AFC"/>
    <w:rsid w:val="00D41205"/>
    <w:rsid w:val="00D43CD4"/>
    <w:rsid w:val="00D74E04"/>
    <w:rsid w:val="00D76B73"/>
    <w:rsid w:val="00D83191"/>
    <w:rsid w:val="00D9381B"/>
    <w:rsid w:val="00D96D87"/>
    <w:rsid w:val="00DA1648"/>
    <w:rsid w:val="00DA5F59"/>
    <w:rsid w:val="00DB01D9"/>
    <w:rsid w:val="00DB502D"/>
    <w:rsid w:val="00DB535A"/>
    <w:rsid w:val="00DC0642"/>
    <w:rsid w:val="00DD073D"/>
    <w:rsid w:val="00DD6AA1"/>
    <w:rsid w:val="00DF42AF"/>
    <w:rsid w:val="00E027D4"/>
    <w:rsid w:val="00E3096C"/>
    <w:rsid w:val="00E313AA"/>
    <w:rsid w:val="00E31E1F"/>
    <w:rsid w:val="00E34C8C"/>
    <w:rsid w:val="00E36AB7"/>
    <w:rsid w:val="00E42ACB"/>
    <w:rsid w:val="00E44EC1"/>
    <w:rsid w:val="00E630FD"/>
    <w:rsid w:val="00E851C5"/>
    <w:rsid w:val="00E85E68"/>
    <w:rsid w:val="00E95166"/>
    <w:rsid w:val="00E97979"/>
    <w:rsid w:val="00EA6CEC"/>
    <w:rsid w:val="00EB5BD5"/>
    <w:rsid w:val="00EE1418"/>
    <w:rsid w:val="00EE1C38"/>
    <w:rsid w:val="00EF48E4"/>
    <w:rsid w:val="00F00D27"/>
    <w:rsid w:val="00F026DA"/>
    <w:rsid w:val="00F06401"/>
    <w:rsid w:val="00F07D91"/>
    <w:rsid w:val="00F11C80"/>
    <w:rsid w:val="00F12D73"/>
    <w:rsid w:val="00F34D11"/>
    <w:rsid w:val="00F44E32"/>
    <w:rsid w:val="00F5002E"/>
    <w:rsid w:val="00F53280"/>
    <w:rsid w:val="00F54361"/>
    <w:rsid w:val="00F5694D"/>
    <w:rsid w:val="00F6697D"/>
    <w:rsid w:val="00F76C4F"/>
    <w:rsid w:val="00F81D10"/>
    <w:rsid w:val="00F92D76"/>
    <w:rsid w:val="00F958EF"/>
    <w:rsid w:val="00F968D4"/>
    <w:rsid w:val="00FA0E81"/>
    <w:rsid w:val="00FA400A"/>
    <w:rsid w:val="00FC12D1"/>
    <w:rsid w:val="00FC537C"/>
    <w:rsid w:val="00FD53DE"/>
    <w:rsid w:val="00FE22A7"/>
    <w:rsid w:val="00FE639E"/>
    <w:rsid w:val="00FF1B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77015"/>
  <w15:docId w15:val="{72D414F2-56F2-496D-97B0-D3E118774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Calibri" w:hAnsi="Segoe UI" w:cs="Times New Roman"/>
        <w:color w:val="233845" w:themeColor="text1"/>
        <w:sz w:val="18"/>
        <w:szCs w:val="18"/>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70BF"/>
    <w:pPr>
      <w:spacing w:after="120"/>
    </w:pPr>
  </w:style>
  <w:style w:type="paragraph" w:styleId="Heading1">
    <w:name w:val="heading 1"/>
    <w:basedOn w:val="Normal"/>
    <w:next w:val="Normal"/>
    <w:link w:val="Heading1Char"/>
    <w:uiPriority w:val="9"/>
    <w:qFormat/>
    <w:rsid w:val="006B52FD"/>
    <w:pPr>
      <w:keepNext/>
      <w:keepLines/>
      <w:spacing w:before="240" w:after="0"/>
      <w:outlineLvl w:val="0"/>
    </w:pPr>
    <w:rPr>
      <w:rFonts w:asciiTheme="majorHAnsi" w:eastAsiaTheme="majorEastAsia" w:hAnsiTheme="majorHAnsi" w:cstheme="majorBidi"/>
      <w:color w:val="007783" w:themeColor="accent1" w:themeShade="BF"/>
      <w:sz w:val="32"/>
      <w:szCs w:val="32"/>
    </w:rPr>
  </w:style>
  <w:style w:type="paragraph" w:styleId="Heading2">
    <w:name w:val="heading 2"/>
    <w:basedOn w:val="Normal"/>
    <w:next w:val="Normal"/>
    <w:link w:val="Heading2Char"/>
    <w:uiPriority w:val="1"/>
    <w:unhideWhenUsed/>
    <w:qFormat/>
    <w:rsid w:val="00A61C3F"/>
    <w:pPr>
      <w:keepNext/>
      <w:keepLines/>
      <w:spacing w:before="40" w:after="0"/>
      <w:outlineLvl w:val="1"/>
    </w:pPr>
    <w:rPr>
      <w:rFonts w:asciiTheme="majorHAnsi" w:eastAsiaTheme="majorEastAsia" w:hAnsiTheme="majorHAnsi" w:cstheme="majorBidi"/>
      <w:color w:val="007783" w:themeColor="accent1" w:themeShade="BF"/>
      <w:sz w:val="26"/>
      <w:szCs w:val="26"/>
    </w:rPr>
  </w:style>
  <w:style w:type="paragraph" w:styleId="Heading3">
    <w:name w:val="heading 3"/>
    <w:basedOn w:val="Normal"/>
    <w:next w:val="Normal"/>
    <w:link w:val="Heading3Char"/>
    <w:uiPriority w:val="2"/>
    <w:unhideWhenUsed/>
    <w:qFormat/>
    <w:rsid w:val="006B52FD"/>
    <w:pPr>
      <w:keepNext/>
      <w:keepLines/>
      <w:spacing w:before="40" w:after="0"/>
      <w:outlineLvl w:val="2"/>
    </w:pPr>
    <w:rPr>
      <w:rFonts w:asciiTheme="majorHAnsi" w:eastAsiaTheme="majorEastAsia" w:hAnsiTheme="majorHAnsi" w:cstheme="majorBidi"/>
      <w:color w:val="004F57" w:themeColor="accent1" w:themeShade="7F"/>
      <w:sz w:val="24"/>
      <w:szCs w:val="24"/>
    </w:rPr>
  </w:style>
  <w:style w:type="paragraph" w:styleId="Heading4">
    <w:name w:val="heading 4"/>
    <w:basedOn w:val="Normal"/>
    <w:next w:val="Normal"/>
    <w:link w:val="Heading4Char"/>
    <w:uiPriority w:val="3"/>
    <w:unhideWhenUsed/>
    <w:qFormat/>
    <w:rsid w:val="001670BF"/>
    <w:pPr>
      <w:keepNext/>
      <w:keepLines/>
      <w:spacing w:before="40" w:after="0"/>
      <w:outlineLvl w:val="3"/>
    </w:pPr>
    <w:rPr>
      <w:rFonts w:asciiTheme="majorHAnsi" w:eastAsiaTheme="majorEastAsia" w:hAnsiTheme="majorHAnsi" w:cstheme="majorBidi"/>
      <w:i/>
      <w:iCs/>
      <w:color w:val="007783" w:themeColor="accent1" w:themeShade="BF"/>
    </w:rPr>
  </w:style>
  <w:style w:type="paragraph" w:styleId="Heading5">
    <w:name w:val="heading 5"/>
    <w:basedOn w:val="Normal"/>
    <w:next w:val="Normal"/>
    <w:link w:val="Heading5Char"/>
    <w:uiPriority w:val="4"/>
    <w:qFormat/>
    <w:rsid w:val="00AA0A8A"/>
    <w:pPr>
      <w:spacing w:before="240" w:after="60" w:line="360" w:lineRule="auto"/>
      <w:ind w:left="567" w:hanging="567"/>
      <w:outlineLvl w:val="4"/>
    </w:pPr>
    <w:rPr>
      <w:rFonts w:eastAsia="Times New Roman"/>
      <w:bCs/>
      <w:i/>
      <w:iCs/>
      <w:color w:val="00A0AF" w:themeColor="accent1"/>
      <w:sz w:val="20"/>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6747"/>
    <w:pPr>
      <w:spacing w:after="0"/>
    </w:pPr>
    <w:rPr>
      <w:rFonts w:ascii="Tahoma" w:hAnsi="Tahoma" w:cs="Tahoma"/>
      <w:sz w:val="16"/>
      <w:szCs w:val="16"/>
    </w:rPr>
  </w:style>
  <w:style w:type="character" w:customStyle="1" w:styleId="BalloonTextChar">
    <w:name w:val="Balloon Text Char"/>
    <w:link w:val="BalloonText"/>
    <w:uiPriority w:val="99"/>
    <w:semiHidden/>
    <w:rsid w:val="002C6747"/>
    <w:rPr>
      <w:rFonts w:ascii="Tahoma" w:hAnsi="Tahoma" w:cs="Tahoma"/>
      <w:sz w:val="16"/>
      <w:szCs w:val="16"/>
    </w:rPr>
  </w:style>
  <w:style w:type="paragraph" w:styleId="Header">
    <w:name w:val="header"/>
    <w:basedOn w:val="Normal"/>
    <w:link w:val="HeaderChar"/>
    <w:uiPriority w:val="99"/>
    <w:unhideWhenUsed/>
    <w:rsid w:val="002C6747"/>
    <w:pPr>
      <w:tabs>
        <w:tab w:val="center" w:pos="4680"/>
        <w:tab w:val="right" w:pos="9360"/>
      </w:tabs>
      <w:spacing w:after="0"/>
    </w:pPr>
  </w:style>
  <w:style w:type="character" w:customStyle="1" w:styleId="HeaderChar">
    <w:name w:val="Header Char"/>
    <w:basedOn w:val="DefaultParagraphFont"/>
    <w:link w:val="Header"/>
    <w:uiPriority w:val="99"/>
    <w:rsid w:val="002C6747"/>
  </w:style>
  <w:style w:type="paragraph" w:styleId="Footer">
    <w:name w:val="footer"/>
    <w:basedOn w:val="Normal"/>
    <w:link w:val="FooterChar"/>
    <w:uiPriority w:val="99"/>
    <w:unhideWhenUsed/>
    <w:rsid w:val="0081736A"/>
    <w:pPr>
      <w:tabs>
        <w:tab w:val="center" w:pos="4680"/>
        <w:tab w:val="right" w:pos="9360"/>
      </w:tabs>
      <w:spacing w:after="0"/>
    </w:pPr>
    <w:rPr>
      <w:sz w:val="14"/>
    </w:rPr>
  </w:style>
  <w:style w:type="character" w:customStyle="1" w:styleId="FooterChar">
    <w:name w:val="Footer Char"/>
    <w:basedOn w:val="DefaultParagraphFont"/>
    <w:link w:val="Footer"/>
    <w:uiPriority w:val="99"/>
    <w:rsid w:val="0081736A"/>
    <w:rPr>
      <w:sz w:val="14"/>
    </w:rPr>
  </w:style>
  <w:style w:type="character" w:styleId="IntenseReference">
    <w:name w:val="Intense Reference"/>
    <w:basedOn w:val="DefaultParagraphFont"/>
    <w:uiPriority w:val="32"/>
    <w:rsid w:val="001670BF"/>
    <w:rPr>
      <w:b/>
      <w:bCs/>
      <w:smallCaps/>
      <w:color w:val="00A0AF" w:themeColor="accent1"/>
      <w:spacing w:val="5"/>
    </w:rPr>
  </w:style>
  <w:style w:type="paragraph" w:customStyle="1" w:styleId="WoodIntro">
    <w:name w:val="Wood Intro"/>
    <w:basedOn w:val="Normal"/>
    <w:link w:val="WoodIntroChar"/>
    <w:qFormat/>
    <w:rsid w:val="0071459A"/>
    <w:pPr>
      <w:spacing w:after="360"/>
    </w:pPr>
    <w:rPr>
      <w:sz w:val="24"/>
    </w:rPr>
  </w:style>
  <w:style w:type="paragraph" w:customStyle="1" w:styleId="WoodSubheading2teal">
    <w:name w:val="Wood Subheading 2 (teal)"/>
    <w:basedOn w:val="Woodsubheading2grey"/>
    <w:link w:val="WoodSubheading2tealChar"/>
    <w:qFormat/>
    <w:rsid w:val="0081736A"/>
    <w:rPr>
      <w:color w:val="00A0AF" w:themeColor="accent1"/>
    </w:rPr>
  </w:style>
  <w:style w:type="paragraph" w:customStyle="1" w:styleId="WoodBody">
    <w:name w:val="Wood Body"/>
    <w:basedOn w:val="Normal"/>
    <w:link w:val="WoodBodyChar"/>
    <w:qFormat/>
    <w:rsid w:val="00A61C3F"/>
    <w:rPr>
      <w:rFonts w:eastAsia="Times New Roman" w:cs="Tahoma"/>
    </w:rPr>
  </w:style>
  <w:style w:type="paragraph" w:customStyle="1" w:styleId="Woodheadline">
    <w:name w:val="Wood headline"/>
    <w:basedOn w:val="Normal"/>
    <w:next w:val="Normal"/>
    <w:link w:val="WoodheadlineChar"/>
    <w:qFormat/>
    <w:rsid w:val="0071459A"/>
    <w:pPr>
      <w:spacing w:after="360" w:line="216" w:lineRule="auto"/>
    </w:pPr>
    <w:rPr>
      <w:rFonts w:eastAsia="Times New Roman" w:cs="Tahoma"/>
      <w:b/>
      <w:sz w:val="48"/>
      <w:szCs w:val="20"/>
    </w:rPr>
  </w:style>
  <w:style w:type="character" w:customStyle="1" w:styleId="Heading2Char">
    <w:name w:val="Heading 2 Char"/>
    <w:basedOn w:val="DefaultParagraphFont"/>
    <w:link w:val="Heading2"/>
    <w:uiPriority w:val="1"/>
    <w:rsid w:val="00A61C3F"/>
    <w:rPr>
      <w:rFonts w:asciiTheme="majorHAnsi" w:eastAsiaTheme="majorEastAsia" w:hAnsiTheme="majorHAnsi" w:cstheme="majorBidi"/>
      <w:color w:val="007783" w:themeColor="accent1" w:themeShade="BF"/>
      <w:sz w:val="26"/>
      <w:szCs w:val="26"/>
      <w:lang w:val="en-US" w:eastAsia="en-US"/>
    </w:rPr>
  </w:style>
  <w:style w:type="character" w:customStyle="1" w:styleId="WoodBodyChar">
    <w:name w:val="Wood Body Char"/>
    <w:basedOn w:val="DefaultParagraphFont"/>
    <w:link w:val="WoodBody"/>
    <w:rsid w:val="00A61C3F"/>
    <w:rPr>
      <w:rFonts w:ascii="Segoe UI" w:eastAsia="Times New Roman" w:hAnsi="Segoe UI" w:cs="Tahoma"/>
      <w:color w:val="233845" w:themeColor="text1"/>
      <w:sz w:val="18"/>
      <w:szCs w:val="18"/>
    </w:rPr>
  </w:style>
  <w:style w:type="paragraph" w:customStyle="1" w:styleId="Woodsubheading2grey">
    <w:name w:val="Wood subheading 2 (grey)"/>
    <w:basedOn w:val="Normal"/>
    <w:link w:val="Woodsubheading2greyChar"/>
    <w:qFormat/>
    <w:rsid w:val="0081736A"/>
    <w:pPr>
      <w:spacing w:before="180" w:after="60"/>
    </w:pPr>
    <w:rPr>
      <w:rFonts w:eastAsia="Times New Roman" w:cs="Tahoma"/>
      <w:b/>
      <w:sz w:val="20"/>
      <w:szCs w:val="20"/>
    </w:rPr>
  </w:style>
  <w:style w:type="character" w:customStyle="1" w:styleId="WoodIntroChar">
    <w:name w:val="Wood Intro Char"/>
    <w:basedOn w:val="DefaultParagraphFont"/>
    <w:link w:val="WoodIntro"/>
    <w:rsid w:val="0071459A"/>
    <w:rPr>
      <w:sz w:val="24"/>
    </w:rPr>
  </w:style>
  <w:style w:type="character" w:customStyle="1" w:styleId="WoodheadlineChar">
    <w:name w:val="Wood headline Char"/>
    <w:basedOn w:val="DefaultParagraphFont"/>
    <w:link w:val="Woodheadline"/>
    <w:rsid w:val="0071459A"/>
    <w:rPr>
      <w:rFonts w:eastAsia="Times New Roman" w:cs="Tahoma"/>
      <w:b/>
      <w:sz w:val="48"/>
      <w:szCs w:val="20"/>
    </w:rPr>
  </w:style>
  <w:style w:type="paragraph" w:customStyle="1" w:styleId="Subheading1grey">
    <w:name w:val="Subheading 1 (grey)"/>
    <w:basedOn w:val="Subheading1teal"/>
    <w:link w:val="Subheading1greyChar"/>
    <w:qFormat/>
    <w:rsid w:val="008B7D6E"/>
    <w:rPr>
      <w:color w:val="233845" w:themeColor="text1"/>
    </w:rPr>
  </w:style>
  <w:style w:type="character" w:customStyle="1" w:styleId="WoodSubheading2tealChar">
    <w:name w:val="Wood Subheading 2 (teal) Char"/>
    <w:basedOn w:val="Woodsubheading2greyChar"/>
    <w:link w:val="WoodSubheading2teal"/>
    <w:rsid w:val="0081736A"/>
    <w:rPr>
      <w:rFonts w:eastAsia="Times New Roman" w:cs="Tahoma"/>
      <w:b/>
      <w:color w:val="00A0AF" w:themeColor="accent1"/>
      <w:sz w:val="20"/>
      <w:szCs w:val="20"/>
    </w:rPr>
  </w:style>
  <w:style w:type="character" w:customStyle="1" w:styleId="Woodsubheading2greyChar">
    <w:name w:val="Wood subheading 2 (grey) Char"/>
    <w:basedOn w:val="DefaultParagraphFont"/>
    <w:link w:val="Woodsubheading2grey"/>
    <w:rsid w:val="0081736A"/>
    <w:rPr>
      <w:rFonts w:eastAsia="Times New Roman" w:cs="Tahoma"/>
      <w:b/>
      <w:sz w:val="20"/>
      <w:szCs w:val="20"/>
    </w:rPr>
  </w:style>
  <w:style w:type="paragraph" w:customStyle="1" w:styleId="Woodbodyemphasisteal">
    <w:name w:val="Wood body emphasis (teal)"/>
    <w:basedOn w:val="WoodBodyEmphasis"/>
    <w:link w:val="WoodbodyemphasistealChar"/>
    <w:qFormat/>
    <w:rsid w:val="0081736A"/>
    <w:rPr>
      <w:color w:val="00A0AF" w:themeColor="accent1"/>
    </w:rPr>
  </w:style>
  <w:style w:type="paragraph" w:customStyle="1" w:styleId="WoodFooter">
    <w:name w:val="Wood Footer"/>
    <w:basedOn w:val="Normal"/>
    <w:link w:val="WoodFooterChar"/>
    <w:qFormat/>
    <w:rsid w:val="0081736A"/>
    <w:pPr>
      <w:spacing w:before="100"/>
    </w:pPr>
    <w:rPr>
      <w:rFonts w:cs="Arial"/>
      <w:sz w:val="16"/>
      <w:szCs w:val="14"/>
    </w:rPr>
  </w:style>
  <w:style w:type="paragraph" w:customStyle="1" w:styleId="WoodBodyEmphasis">
    <w:name w:val="Wood Body Emphasis"/>
    <w:basedOn w:val="Normal"/>
    <w:link w:val="WoodBodyEmphasisChar"/>
    <w:qFormat/>
    <w:rsid w:val="00A61C3F"/>
    <w:pPr>
      <w:spacing w:after="0" w:line="260" w:lineRule="exact"/>
    </w:pPr>
    <w:rPr>
      <w:rFonts w:eastAsia="Times New Roman" w:cs="Tahoma"/>
      <w:b/>
    </w:rPr>
  </w:style>
  <w:style w:type="character" w:customStyle="1" w:styleId="WoodFooterChar">
    <w:name w:val="Wood Footer Char"/>
    <w:basedOn w:val="DefaultParagraphFont"/>
    <w:link w:val="WoodFooter"/>
    <w:rsid w:val="0081736A"/>
    <w:rPr>
      <w:rFonts w:cs="Arial"/>
      <w:sz w:val="16"/>
      <w:szCs w:val="14"/>
    </w:rPr>
  </w:style>
  <w:style w:type="character" w:customStyle="1" w:styleId="WoodBodyEmphasisChar">
    <w:name w:val="Wood Body Emphasis Char"/>
    <w:basedOn w:val="DefaultParagraphFont"/>
    <w:link w:val="WoodBodyEmphasis"/>
    <w:rsid w:val="00A61C3F"/>
    <w:rPr>
      <w:rFonts w:ascii="Segoe UI" w:eastAsia="Times New Roman" w:hAnsi="Segoe UI" w:cs="Tahoma"/>
      <w:b/>
      <w:sz w:val="18"/>
      <w:szCs w:val="18"/>
    </w:rPr>
  </w:style>
  <w:style w:type="paragraph" w:customStyle="1" w:styleId="Bodybullet">
    <w:name w:val="Body bullet"/>
    <w:basedOn w:val="WoodBody"/>
    <w:link w:val="BodybulletChar"/>
    <w:qFormat/>
    <w:rsid w:val="0081736A"/>
    <w:pPr>
      <w:numPr>
        <w:numId w:val="3"/>
      </w:numPr>
      <w:spacing w:before="120"/>
      <w:ind w:left="341" w:hanging="284"/>
      <w:contextualSpacing/>
    </w:pPr>
  </w:style>
  <w:style w:type="character" w:customStyle="1" w:styleId="Heading4Char">
    <w:name w:val="Heading 4 Char"/>
    <w:basedOn w:val="DefaultParagraphFont"/>
    <w:link w:val="Heading4"/>
    <w:uiPriority w:val="9"/>
    <w:rsid w:val="001670BF"/>
    <w:rPr>
      <w:rFonts w:asciiTheme="majorHAnsi" w:eastAsiaTheme="majorEastAsia" w:hAnsiTheme="majorHAnsi" w:cstheme="majorBidi"/>
      <w:i/>
      <w:iCs/>
      <w:color w:val="007783" w:themeColor="accent1" w:themeShade="BF"/>
    </w:rPr>
  </w:style>
  <w:style w:type="character" w:customStyle="1" w:styleId="BodybulletChar">
    <w:name w:val="Body bullet Char"/>
    <w:basedOn w:val="WoodBodyChar"/>
    <w:link w:val="Bodybullet"/>
    <w:rsid w:val="0081736A"/>
    <w:rPr>
      <w:rFonts w:ascii="Segoe UI" w:eastAsia="Times New Roman" w:hAnsi="Segoe UI" w:cs="Tahoma"/>
      <w:color w:val="233845" w:themeColor="text1"/>
      <w:sz w:val="18"/>
      <w:szCs w:val="18"/>
    </w:rPr>
  </w:style>
  <w:style w:type="paragraph" w:customStyle="1" w:styleId="Woodsubhead1-bulletednumberteal">
    <w:name w:val="Wood subhead 1 - bulleted number (teal)"/>
    <w:basedOn w:val="Normal"/>
    <w:link w:val="Woodsubhead1-bulletednumbertealChar"/>
    <w:qFormat/>
    <w:rsid w:val="001670BF"/>
    <w:pPr>
      <w:numPr>
        <w:numId w:val="5"/>
      </w:numPr>
      <w:spacing w:before="240"/>
      <w:ind w:left="284" w:hanging="284"/>
    </w:pPr>
    <w:rPr>
      <w:rFonts w:eastAsia="Times New Roman" w:cs="Tahoma"/>
      <w:b/>
      <w:color w:val="00A0AF" w:themeColor="accent1"/>
      <w:sz w:val="22"/>
      <w:szCs w:val="20"/>
    </w:rPr>
  </w:style>
  <w:style w:type="paragraph" w:customStyle="1" w:styleId="Woodsubhead1-bulletednumbergrey">
    <w:name w:val="Wood subhead 1 - bulleted number (grey)"/>
    <w:basedOn w:val="Woodsubhead1-bulletednumberteal"/>
    <w:link w:val="Woodsubhead1-bulletednumbergreyChar"/>
    <w:qFormat/>
    <w:rsid w:val="006B52FD"/>
    <w:rPr>
      <w:color w:val="233845" w:themeColor="accent3"/>
    </w:rPr>
  </w:style>
  <w:style w:type="character" w:customStyle="1" w:styleId="Woodsubhead1-bulletednumbertealChar">
    <w:name w:val="Wood subhead 1 - bulleted number (teal) Char"/>
    <w:basedOn w:val="DefaultParagraphFont"/>
    <w:link w:val="Woodsubhead1-bulletednumberteal"/>
    <w:rsid w:val="001670BF"/>
    <w:rPr>
      <w:rFonts w:ascii="Segoe UI" w:eastAsia="Times New Roman" w:hAnsi="Segoe UI" w:cs="Tahoma"/>
      <w:b/>
      <w:color w:val="00A0AF" w:themeColor="accent1"/>
      <w:sz w:val="22"/>
      <w:szCs w:val="20"/>
    </w:rPr>
  </w:style>
  <w:style w:type="paragraph" w:customStyle="1" w:styleId="Heading1teal">
    <w:name w:val="Heading 1 teal"/>
    <w:basedOn w:val="Woodsubhead1-bulletednumbergrey"/>
    <w:link w:val="Heading1tealChar"/>
    <w:rsid w:val="00C83503"/>
    <w:pPr>
      <w:numPr>
        <w:numId w:val="0"/>
      </w:numPr>
      <w:ind w:left="284" w:hanging="284"/>
    </w:pPr>
  </w:style>
  <w:style w:type="character" w:customStyle="1" w:styleId="Woodsubhead1-bulletednumbergreyChar">
    <w:name w:val="Wood subhead 1 - bulleted number (grey) Char"/>
    <w:basedOn w:val="Woodsubhead1-bulletednumbertealChar"/>
    <w:link w:val="Woodsubhead1-bulletednumbergrey"/>
    <w:rsid w:val="006B52FD"/>
    <w:rPr>
      <w:rFonts w:ascii="Segoe UI" w:eastAsia="Times New Roman" w:hAnsi="Segoe UI" w:cs="Tahoma"/>
      <w:b/>
      <w:color w:val="233845" w:themeColor="accent3"/>
      <w:sz w:val="22"/>
      <w:szCs w:val="20"/>
    </w:rPr>
  </w:style>
  <w:style w:type="paragraph" w:customStyle="1" w:styleId="Subheading1teal">
    <w:name w:val="Subheading 1 (teal)"/>
    <w:basedOn w:val="Heading1teal"/>
    <w:link w:val="Subheading1tealChar"/>
    <w:qFormat/>
    <w:rsid w:val="008B7D6E"/>
    <w:pPr>
      <w:tabs>
        <w:tab w:val="left" w:pos="284"/>
      </w:tabs>
    </w:pPr>
    <w:rPr>
      <w:color w:val="00A0AF" w:themeColor="accent1"/>
    </w:rPr>
  </w:style>
  <w:style w:type="character" w:customStyle="1" w:styleId="Heading1tealChar">
    <w:name w:val="Heading 1 teal Char"/>
    <w:basedOn w:val="Woodsubhead1-bulletednumbergreyChar"/>
    <w:link w:val="Heading1teal"/>
    <w:rsid w:val="00C83503"/>
    <w:rPr>
      <w:rFonts w:ascii="Segoe UI" w:eastAsia="Times New Roman" w:hAnsi="Segoe UI" w:cs="Tahoma"/>
      <w:b/>
      <w:color w:val="233845" w:themeColor="accent3"/>
      <w:sz w:val="24"/>
      <w:szCs w:val="18"/>
    </w:rPr>
  </w:style>
  <w:style w:type="character" w:customStyle="1" w:styleId="Subheading1tealChar">
    <w:name w:val="Subheading 1 (teal) Char"/>
    <w:basedOn w:val="Heading1tealChar"/>
    <w:link w:val="Subheading1teal"/>
    <w:rsid w:val="008B7D6E"/>
    <w:rPr>
      <w:rFonts w:ascii="Segoe UI" w:eastAsia="Times New Roman" w:hAnsi="Segoe UI" w:cs="Tahoma"/>
      <w:b/>
      <w:color w:val="00A0AF" w:themeColor="accent1"/>
      <w:sz w:val="22"/>
      <w:szCs w:val="20"/>
    </w:rPr>
  </w:style>
  <w:style w:type="character" w:customStyle="1" w:styleId="Heading3Char">
    <w:name w:val="Heading 3 Char"/>
    <w:basedOn w:val="DefaultParagraphFont"/>
    <w:link w:val="Heading3"/>
    <w:uiPriority w:val="9"/>
    <w:rsid w:val="006B52FD"/>
    <w:rPr>
      <w:rFonts w:asciiTheme="majorHAnsi" w:eastAsiaTheme="majorEastAsia" w:hAnsiTheme="majorHAnsi" w:cstheme="majorBidi"/>
      <w:color w:val="004F57" w:themeColor="accent1" w:themeShade="7F"/>
      <w:sz w:val="24"/>
      <w:szCs w:val="24"/>
    </w:rPr>
  </w:style>
  <w:style w:type="character" w:customStyle="1" w:styleId="Heading1Char">
    <w:name w:val="Heading 1 Char"/>
    <w:basedOn w:val="DefaultParagraphFont"/>
    <w:link w:val="Heading1"/>
    <w:uiPriority w:val="9"/>
    <w:rsid w:val="006B52FD"/>
    <w:rPr>
      <w:rFonts w:asciiTheme="majorHAnsi" w:eastAsiaTheme="majorEastAsia" w:hAnsiTheme="majorHAnsi" w:cstheme="majorBidi"/>
      <w:color w:val="007783" w:themeColor="accent1" w:themeShade="BF"/>
      <w:sz w:val="32"/>
      <w:szCs w:val="32"/>
    </w:rPr>
  </w:style>
  <w:style w:type="character" w:customStyle="1" w:styleId="Subheading1greyChar">
    <w:name w:val="Subheading 1 (grey) Char"/>
    <w:basedOn w:val="Subheading1tealChar"/>
    <w:link w:val="Subheading1grey"/>
    <w:rsid w:val="008B7D6E"/>
    <w:rPr>
      <w:rFonts w:ascii="Segoe UI" w:eastAsia="Times New Roman" w:hAnsi="Segoe UI" w:cs="Tahoma"/>
      <w:b/>
      <w:color w:val="00A0AF" w:themeColor="accent1"/>
      <w:sz w:val="22"/>
      <w:szCs w:val="20"/>
    </w:rPr>
  </w:style>
  <w:style w:type="paragraph" w:customStyle="1" w:styleId="Numberedbullet">
    <w:name w:val="Numbered bullet"/>
    <w:basedOn w:val="Bodybullet"/>
    <w:link w:val="NumberedbulletChar"/>
    <w:qFormat/>
    <w:rsid w:val="0081736A"/>
    <w:pPr>
      <w:numPr>
        <w:numId w:val="9"/>
      </w:numPr>
      <w:ind w:left="341" w:hanging="284"/>
    </w:pPr>
  </w:style>
  <w:style w:type="character" w:customStyle="1" w:styleId="WoodbodyemphasistealChar">
    <w:name w:val="Wood body emphasis (teal) Char"/>
    <w:basedOn w:val="WoodBodyEmphasisChar"/>
    <w:link w:val="Woodbodyemphasisteal"/>
    <w:rsid w:val="0081736A"/>
    <w:rPr>
      <w:rFonts w:ascii="Segoe UI" w:eastAsia="Times New Roman" w:hAnsi="Segoe UI" w:cs="Tahoma"/>
      <w:b/>
      <w:color w:val="00A0AF" w:themeColor="accent1"/>
      <w:sz w:val="18"/>
      <w:szCs w:val="18"/>
    </w:rPr>
  </w:style>
  <w:style w:type="paragraph" w:styleId="ListParagraph">
    <w:name w:val="List Paragraph"/>
    <w:basedOn w:val="Normal"/>
    <w:uiPriority w:val="34"/>
    <w:qFormat/>
    <w:rsid w:val="001670BF"/>
    <w:pPr>
      <w:ind w:left="720"/>
      <w:contextualSpacing/>
    </w:pPr>
  </w:style>
  <w:style w:type="character" w:customStyle="1" w:styleId="NumberedbulletChar">
    <w:name w:val="Numbered bullet Char"/>
    <w:basedOn w:val="BodybulletChar"/>
    <w:link w:val="Numberedbullet"/>
    <w:rsid w:val="0081736A"/>
    <w:rPr>
      <w:rFonts w:ascii="Segoe UI" w:eastAsia="Times New Roman" w:hAnsi="Segoe UI" w:cs="Tahoma"/>
      <w:color w:val="233845" w:themeColor="text1"/>
      <w:sz w:val="18"/>
      <w:szCs w:val="18"/>
    </w:rPr>
  </w:style>
  <w:style w:type="paragraph" w:customStyle="1" w:styleId="Covertitle">
    <w:name w:val="Cover title"/>
    <w:basedOn w:val="Woodheadline"/>
    <w:link w:val="CovertitleChar"/>
    <w:qFormat/>
    <w:rsid w:val="00BE24DC"/>
    <w:pPr>
      <w:spacing w:before="240" w:after="800" w:line="1000" w:lineRule="exact"/>
    </w:pPr>
    <w:rPr>
      <w:color w:val="00A0AF" w:themeColor="accent1"/>
      <w:sz w:val="100"/>
      <w:szCs w:val="90"/>
    </w:rPr>
  </w:style>
  <w:style w:type="character" w:customStyle="1" w:styleId="CovertitleChar">
    <w:name w:val="Cover title Char"/>
    <w:basedOn w:val="WoodheadlineChar"/>
    <w:link w:val="Covertitle"/>
    <w:rsid w:val="00BE24DC"/>
    <w:rPr>
      <w:rFonts w:eastAsia="Times New Roman" w:cs="Tahoma"/>
      <w:b/>
      <w:color w:val="00A0AF" w:themeColor="accent1"/>
      <w:sz w:val="100"/>
      <w:szCs w:val="90"/>
    </w:rPr>
  </w:style>
  <w:style w:type="paragraph" w:customStyle="1" w:styleId="Coversubtitle">
    <w:name w:val="Cover subtitle"/>
    <w:basedOn w:val="WoodIntro"/>
    <w:link w:val="CoversubtitleChar"/>
    <w:qFormat/>
    <w:rsid w:val="00BE24DC"/>
    <w:rPr>
      <w:sz w:val="32"/>
      <w:szCs w:val="22"/>
    </w:rPr>
  </w:style>
  <w:style w:type="character" w:customStyle="1" w:styleId="CoversubtitleChar">
    <w:name w:val="Cover subtitle Char"/>
    <w:basedOn w:val="WoodIntroChar"/>
    <w:link w:val="Coversubtitle"/>
    <w:rsid w:val="00BE24DC"/>
    <w:rPr>
      <w:sz w:val="32"/>
      <w:szCs w:val="22"/>
    </w:rPr>
  </w:style>
  <w:style w:type="table" w:customStyle="1" w:styleId="MiscTable">
    <w:name w:val="MiscTable"/>
    <w:basedOn w:val="TableNormal"/>
    <w:uiPriority w:val="49"/>
    <w:rsid w:val="00AA0A8A"/>
    <w:rPr>
      <w:rFonts w:ascii="Calibri" w:hAnsi="Calibri"/>
      <w:color w:val="auto"/>
      <w:sz w:val="20"/>
      <w:szCs w:val="20"/>
      <w:lang w:val="en-US" w:eastAsia="en-US"/>
    </w:rPr>
    <w:tblPr>
      <w:tblStyleRowBandSize w:val="1"/>
      <w:tblStyleColBandSize w:val="1"/>
      <w:tblBorders>
        <w:top w:val="single" w:sz="4" w:space="0" w:color="233845" w:themeColor="text1"/>
        <w:left w:val="single" w:sz="4" w:space="0" w:color="233845" w:themeColor="text1"/>
        <w:bottom w:val="single" w:sz="4" w:space="0" w:color="233845" w:themeColor="text1"/>
        <w:right w:val="single" w:sz="4" w:space="0" w:color="233845" w:themeColor="text1"/>
        <w:insideH w:val="single" w:sz="4" w:space="0" w:color="233845" w:themeColor="text1"/>
        <w:insideV w:val="single" w:sz="4" w:space="0" w:color="233845" w:themeColor="text1"/>
      </w:tblBorders>
    </w:tblPr>
    <w:tblStylePr w:type="firstRow">
      <w:pPr>
        <w:jc w:val="center"/>
      </w:pPr>
      <w:rPr>
        <w:b/>
        <w:bCs/>
        <w:color w:val="FFFFFF" w:themeColor="background1"/>
      </w:rPr>
      <w:tblPr/>
      <w:tcPr>
        <w:tcBorders>
          <w:top w:val="single" w:sz="4" w:space="0" w:color="A7AFB5" w:themeColor="accent6"/>
          <w:left w:val="single" w:sz="4" w:space="0" w:color="A7AFB5" w:themeColor="accent6"/>
          <w:bottom w:val="single" w:sz="4" w:space="0" w:color="A7AFB5" w:themeColor="accent6"/>
          <w:right w:val="single" w:sz="4" w:space="0" w:color="A7AFB5" w:themeColor="accent6"/>
          <w:insideH w:val="nil"/>
          <w:insideV w:val="nil"/>
        </w:tcBorders>
        <w:shd w:val="clear" w:color="auto" w:fill="A7AFB5" w:themeFill="accent6"/>
        <w:vAlign w:val="center"/>
      </w:tcPr>
    </w:tblStylePr>
    <w:tblStylePr w:type="lastRow">
      <w:rPr>
        <w:b/>
        <w:bCs/>
      </w:rPr>
      <w:tblPr/>
      <w:tcPr>
        <w:tcBorders>
          <w:top w:val="double" w:sz="4" w:space="0" w:color="A7AFB5" w:themeColor="accent6"/>
        </w:tcBorders>
      </w:tcPr>
    </w:tblStylePr>
    <w:tblStylePr w:type="firstCol">
      <w:rPr>
        <w:b w:val="0"/>
        <w:bCs/>
      </w:rPr>
    </w:tblStylePr>
    <w:tblStylePr w:type="lastCol">
      <w:rPr>
        <w:b w:val="0"/>
        <w:bCs/>
      </w:rPr>
    </w:tblStylePr>
    <w:tblStylePr w:type="band1Horz">
      <w:tblPr/>
      <w:tcPr>
        <w:shd w:val="clear" w:color="auto" w:fill="E1E7FF"/>
      </w:tcPr>
    </w:tblStylePr>
  </w:style>
  <w:style w:type="paragraph" w:styleId="BodyText">
    <w:name w:val="Body Text"/>
    <w:link w:val="BodyTextChar"/>
    <w:qFormat/>
    <w:rsid w:val="00AA0A8A"/>
    <w:pPr>
      <w:widowControl w:val="0"/>
      <w:spacing w:after="120"/>
    </w:pPr>
    <w:rPr>
      <w:rFonts w:eastAsia="Times New Roman" w:cs="Segoe UI"/>
      <w:color w:val="000000"/>
      <w:sz w:val="20"/>
      <w:szCs w:val="20"/>
      <w:lang w:val="en-US" w:eastAsia="en-US"/>
    </w:rPr>
  </w:style>
  <w:style w:type="character" w:customStyle="1" w:styleId="BodyTextChar">
    <w:name w:val="Body Text Char"/>
    <w:basedOn w:val="DefaultParagraphFont"/>
    <w:link w:val="BodyText"/>
    <w:rsid w:val="00AA0A8A"/>
    <w:rPr>
      <w:rFonts w:eastAsia="Times New Roman" w:cs="Segoe UI"/>
      <w:color w:val="000000"/>
      <w:sz w:val="20"/>
      <w:szCs w:val="20"/>
      <w:lang w:val="en-US" w:eastAsia="en-US"/>
    </w:rPr>
  </w:style>
  <w:style w:type="table" w:styleId="GridTable4-Accent5">
    <w:name w:val="Grid Table 4 Accent 5"/>
    <w:basedOn w:val="TableNormal"/>
    <w:uiPriority w:val="49"/>
    <w:rsid w:val="00AA0A8A"/>
    <w:tblPr>
      <w:tblStyleRowBandSize w:val="1"/>
      <w:tblStyleColBandSize w:val="1"/>
      <w:tblBorders>
        <w:top w:val="single" w:sz="4" w:space="0" w:color="AFB7BB" w:themeColor="accent5" w:themeTint="99"/>
        <w:left w:val="single" w:sz="4" w:space="0" w:color="AFB7BB" w:themeColor="accent5" w:themeTint="99"/>
        <w:bottom w:val="single" w:sz="4" w:space="0" w:color="AFB7BB" w:themeColor="accent5" w:themeTint="99"/>
        <w:right w:val="single" w:sz="4" w:space="0" w:color="AFB7BB" w:themeColor="accent5" w:themeTint="99"/>
        <w:insideH w:val="single" w:sz="4" w:space="0" w:color="AFB7BB" w:themeColor="accent5" w:themeTint="99"/>
        <w:insideV w:val="single" w:sz="4" w:space="0" w:color="AFB7BB" w:themeColor="accent5" w:themeTint="99"/>
      </w:tblBorders>
    </w:tblPr>
    <w:tblStylePr w:type="firstRow">
      <w:rPr>
        <w:b/>
        <w:bCs/>
        <w:color w:val="FFFFFF" w:themeColor="background1"/>
      </w:rPr>
      <w:tblPr/>
      <w:tcPr>
        <w:tcBorders>
          <w:top w:val="single" w:sz="4" w:space="0" w:color="7B888F" w:themeColor="accent5"/>
          <w:left w:val="single" w:sz="4" w:space="0" w:color="7B888F" w:themeColor="accent5"/>
          <w:bottom w:val="single" w:sz="4" w:space="0" w:color="7B888F" w:themeColor="accent5"/>
          <w:right w:val="single" w:sz="4" w:space="0" w:color="7B888F" w:themeColor="accent5"/>
          <w:insideH w:val="nil"/>
          <w:insideV w:val="nil"/>
        </w:tcBorders>
        <w:shd w:val="clear" w:color="auto" w:fill="7B888F" w:themeFill="accent5"/>
      </w:tcPr>
    </w:tblStylePr>
    <w:tblStylePr w:type="lastRow">
      <w:rPr>
        <w:b/>
        <w:bCs/>
      </w:rPr>
      <w:tblPr/>
      <w:tcPr>
        <w:tcBorders>
          <w:top w:val="double" w:sz="4" w:space="0" w:color="7B888F" w:themeColor="accent5"/>
        </w:tcBorders>
      </w:tcPr>
    </w:tblStylePr>
    <w:tblStylePr w:type="firstCol">
      <w:rPr>
        <w:b/>
        <w:bCs/>
      </w:rPr>
    </w:tblStylePr>
    <w:tblStylePr w:type="lastCol">
      <w:rPr>
        <w:b/>
        <w:bCs/>
      </w:rPr>
    </w:tblStylePr>
    <w:tblStylePr w:type="band1Vert">
      <w:tblPr/>
      <w:tcPr>
        <w:shd w:val="clear" w:color="auto" w:fill="E4E7E8" w:themeFill="accent5" w:themeFillTint="33"/>
      </w:tcPr>
    </w:tblStylePr>
    <w:tblStylePr w:type="band1Horz">
      <w:tblPr/>
      <w:tcPr>
        <w:shd w:val="clear" w:color="auto" w:fill="E4E7E8" w:themeFill="accent5" w:themeFillTint="33"/>
      </w:tcPr>
    </w:tblStylePr>
  </w:style>
  <w:style w:type="character" w:styleId="Hyperlink">
    <w:name w:val="Hyperlink"/>
    <w:uiPriority w:val="99"/>
    <w:rsid w:val="00AA0A8A"/>
    <w:rPr>
      <w:color w:val="0000FF"/>
      <w:u w:val="single"/>
    </w:rPr>
  </w:style>
  <w:style w:type="character" w:customStyle="1" w:styleId="Heading5Char">
    <w:name w:val="Heading 5 Char"/>
    <w:basedOn w:val="DefaultParagraphFont"/>
    <w:link w:val="Heading5"/>
    <w:uiPriority w:val="4"/>
    <w:rsid w:val="00AA0A8A"/>
    <w:rPr>
      <w:rFonts w:eastAsia="Times New Roman"/>
      <w:bCs/>
      <w:i/>
      <w:iCs/>
      <w:color w:val="00A0AF" w:themeColor="accent1"/>
      <w:sz w:val="20"/>
      <w:szCs w:val="26"/>
      <w:lang w:eastAsia="en-US"/>
    </w:rPr>
  </w:style>
  <w:style w:type="paragraph" w:customStyle="1" w:styleId="Figure">
    <w:name w:val="Figure"/>
    <w:basedOn w:val="Normal"/>
    <w:next w:val="Normal"/>
    <w:uiPriority w:val="6"/>
    <w:qFormat/>
    <w:rsid w:val="00AA0A8A"/>
    <w:pPr>
      <w:numPr>
        <w:numId w:val="20"/>
      </w:numPr>
      <w:jc w:val="center"/>
    </w:pPr>
    <w:rPr>
      <w:b/>
      <w:color w:val="auto"/>
      <w:sz w:val="16"/>
      <w:szCs w:val="22"/>
      <w:lang w:eastAsia="en-US"/>
    </w:rPr>
  </w:style>
  <w:style w:type="character" w:styleId="CommentReference">
    <w:name w:val="annotation reference"/>
    <w:basedOn w:val="DefaultParagraphFont"/>
    <w:uiPriority w:val="99"/>
    <w:semiHidden/>
    <w:unhideWhenUsed/>
    <w:rsid w:val="00887AEA"/>
    <w:rPr>
      <w:sz w:val="16"/>
      <w:szCs w:val="16"/>
    </w:rPr>
  </w:style>
  <w:style w:type="paragraph" w:styleId="CommentText">
    <w:name w:val="annotation text"/>
    <w:basedOn w:val="Normal"/>
    <w:link w:val="CommentTextChar"/>
    <w:uiPriority w:val="99"/>
    <w:semiHidden/>
    <w:unhideWhenUsed/>
    <w:rsid w:val="00887AEA"/>
    <w:rPr>
      <w:sz w:val="20"/>
      <w:szCs w:val="20"/>
    </w:rPr>
  </w:style>
  <w:style w:type="character" w:customStyle="1" w:styleId="CommentTextChar">
    <w:name w:val="Comment Text Char"/>
    <w:basedOn w:val="DefaultParagraphFont"/>
    <w:link w:val="CommentText"/>
    <w:uiPriority w:val="99"/>
    <w:semiHidden/>
    <w:rsid w:val="00887AEA"/>
    <w:rPr>
      <w:sz w:val="20"/>
      <w:szCs w:val="20"/>
    </w:rPr>
  </w:style>
  <w:style w:type="paragraph" w:styleId="CommentSubject">
    <w:name w:val="annotation subject"/>
    <w:basedOn w:val="CommentText"/>
    <w:next w:val="CommentText"/>
    <w:link w:val="CommentSubjectChar"/>
    <w:uiPriority w:val="99"/>
    <w:semiHidden/>
    <w:unhideWhenUsed/>
    <w:rsid w:val="00887AEA"/>
    <w:rPr>
      <w:b/>
      <w:bCs/>
    </w:rPr>
  </w:style>
  <w:style w:type="character" w:customStyle="1" w:styleId="CommentSubjectChar">
    <w:name w:val="Comment Subject Char"/>
    <w:basedOn w:val="CommentTextChar"/>
    <w:link w:val="CommentSubject"/>
    <w:uiPriority w:val="99"/>
    <w:semiHidden/>
    <w:rsid w:val="00887AEA"/>
    <w:rPr>
      <w:b/>
      <w:bCs/>
      <w:sz w:val="20"/>
      <w:szCs w:val="20"/>
    </w:rPr>
  </w:style>
  <w:style w:type="character" w:styleId="UnresolvedMention">
    <w:name w:val="Unresolved Mention"/>
    <w:basedOn w:val="DefaultParagraphFont"/>
    <w:uiPriority w:val="99"/>
    <w:semiHidden/>
    <w:unhideWhenUsed/>
    <w:rsid w:val="00C66A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262738">
      <w:bodyDiv w:val="1"/>
      <w:marLeft w:val="0"/>
      <w:marRight w:val="0"/>
      <w:marTop w:val="0"/>
      <w:marBottom w:val="0"/>
      <w:divBdr>
        <w:top w:val="none" w:sz="0" w:space="0" w:color="auto"/>
        <w:left w:val="none" w:sz="0" w:space="0" w:color="auto"/>
        <w:bottom w:val="none" w:sz="0" w:space="0" w:color="auto"/>
        <w:right w:val="none" w:sz="0" w:space="0" w:color="auto"/>
      </w:divBdr>
    </w:div>
    <w:div w:id="1282881519">
      <w:bodyDiv w:val="1"/>
      <w:marLeft w:val="0"/>
      <w:marRight w:val="0"/>
      <w:marTop w:val="0"/>
      <w:marBottom w:val="0"/>
      <w:divBdr>
        <w:top w:val="none" w:sz="0" w:space="0" w:color="auto"/>
        <w:left w:val="none" w:sz="0" w:space="0" w:color="auto"/>
        <w:bottom w:val="none" w:sz="0" w:space="0" w:color="auto"/>
        <w:right w:val="none" w:sz="0" w:space="0" w:color="auto"/>
      </w:divBdr>
    </w:div>
    <w:div w:id="180828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your-instance.gotechnology.online/swagg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edi-gotechnology.github.io/"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Wood 2020">
      <a:dk1>
        <a:srgbClr val="233845"/>
      </a:dk1>
      <a:lt1>
        <a:srgbClr val="FFFFFF"/>
      </a:lt1>
      <a:dk2>
        <a:srgbClr val="4F606A"/>
      </a:dk2>
      <a:lt2>
        <a:srgbClr val="D3D7DA"/>
      </a:lt2>
      <a:accent1>
        <a:srgbClr val="00A0AF"/>
      </a:accent1>
      <a:accent2>
        <a:srgbClr val="32C3D4"/>
      </a:accent2>
      <a:accent3>
        <a:srgbClr val="233845"/>
      </a:accent3>
      <a:accent4>
        <a:srgbClr val="4F606A"/>
      </a:accent4>
      <a:accent5>
        <a:srgbClr val="7B888F"/>
      </a:accent5>
      <a:accent6>
        <a:srgbClr val="A7AFB5"/>
      </a:accent6>
      <a:hlink>
        <a:srgbClr val="00A0AF"/>
      </a:hlink>
      <a:folHlink>
        <a:srgbClr val="32C3D4"/>
      </a:folHlink>
    </a:clrScheme>
    <a:fontScheme name="Wood 2020">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34B757A36B6745BAE84652F17B76E2" ma:contentTypeVersion="11" ma:contentTypeDescription="Create a new document." ma:contentTypeScope="" ma:versionID="077181545f452edf349dbca324b8e36f">
  <xsd:schema xmlns:xsd="http://www.w3.org/2001/XMLSchema" xmlns:xs="http://www.w3.org/2001/XMLSchema" xmlns:p="http://schemas.microsoft.com/office/2006/metadata/properties" xmlns:ns2="275722e5-9e00-45bb-b0e3-d613061a74ed" xmlns:ns3="358eca99-01b7-49a3-93c8-5b5276b58ff5" targetNamespace="http://schemas.microsoft.com/office/2006/metadata/properties" ma:root="true" ma:fieldsID="19d8aeff097650cefaa8421667059136" ns2:_="" ns3:_="">
    <xsd:import namespace="275722e5-9e00-45bb-b0e3-d613061a74ed"/>
    <xsd:import namespace="358eca99-01b7-49a3-93c8-5b5276b58f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5722e5-9e00-45bb-b0e3-d613061a7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8eca99-01b7-49a3-93c8-5b5276b58f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3DCEFB-7588-4B8C-90B3-6A5B36295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5722e5-9e00-45bb-b0e3-d613061a74ed"/>
    <ds:schemaRef ds:uri="358eca99-01b7-49a3-93c8-5b5276b58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7D7D36-3C6B-4CD9-BEBE-A374118463C8}">
  <ds:schemaRefs>
    <ds:schemaRef ds:uri="http://schemas.openxmlformats.org/officeDocument/2006/bibliography"/>
  </ds:schemaRefs>
</ds:datastoreItem>
</file>

<file path=customXml/itemProps3.xml><?xml version="1.0" encoding="utf-8"?>
<ds:datastoreItem xmlns:ds="http://schemas.openxmlformats.org/officeDocument/2006/customXml" ds:itemID="{51FA78A4-B713-4081-9D4E-73365BD7A35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5A4D64-C8DA-45E9-A8E6-299FF43883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7268</TotalTime>
  <Pages>7</Pages>
  <Words>1260</Words>
  <Characters>7183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PSN</Company>
  <LinksUpToDate>false</LinksUpToDate>
  <CharactersWithSpaces>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Fraser, Victoria</dc:creator>
  <cp:lastModifiedBy>Fraser, Victoria</cp:lastModifiedBy>
  <cp:revision>236</cp:revision>
  <cp:lastPrinted>2022-05-19T15:08:00Z</cp:lastPrinted>
  <dcterms:created xsi:type="dcterms:W3CDTF">2022-05-02T09:14:00Z</dcterms:created>
  <dcterms:modified xsi:type="dcterms:W3CDTF">2022-06-15T07:59:00Z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0x010100D734B757A36B6745BAE84652F17B76E2</vt:lpwstr>
  </property>
</Properties>
</file>